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C986" w14:textId="77777777" w:rsidR="00D90BD1" w:rsidRPr="00D90BD1" w:rsidRDefault="00D90BD1" w:rsidP="00D90BD1">
      <w:pPr>
        <w:autoSpaceDE w:val="0"/>
        <w:autoSpaceDN w:val="0"/>
        <w:adjustRightInd w:val="0"/>
        <w:spacing w:after="0" w:line="360" w:lineRule="auto"/>
        <w:jc w:val="center"/>
        <w:rPr>
          <w:b/>
          <w:color w:val="C00000"/>
          <w:sz w:val="24"/>
          <w:szCs w:val="24"/>
        </w:rPr>
      </w:pPr>
      <w:r w:rsidRPr="00D90BD1">
        <w:rPr>
          <w:b/>
          <w:color w:val="C00000"/>
          <w:sz w:val="24"/>
          <w:szCs w:val="24"/>
        </w:rPr>
        <w:t>TÉCNICAS DE BIOLOGÍA MOLECULAR EN REVISTAS DE MEDICINA PERUANA, 2010-2019</w:t>
      </w:r>
    </w:p>
    <w:p w14:paraId="13E1D673" w14:textId="77777777" w:rsidR="00D90BD1" w:rsidRPr="003C4BB8" w:rsidRDefault="00D90BD1" w:rsidP="00D90BD1">
      <w:pPr>
        <w:autoSpaceDE w:val="0"/>
        <w:autoSpaceDN w:val="0"/>
        <w:adjustRightInd w:val="0"/>
        <w:spacing w:after="0" w:line="240" w:lineRule="auto"/>
        <w:jc w:val="center"/>
        <w:rPr>
          <w:rFonts w:ascii="Times New Roman" w:hAnsi="Times New Roman" w:cs="Times New Roman"/>
          <w:sz w:val="28"/>
          <w:szCs w:val="28"/>
        </w:rPr>
      </w:pPr>
    </w:p>
    <w:p w14:paraId="59ECB92A" w14:textId="77777777" w:rsidR="00D90BD1" w:rsidRPr="00D90BD1" w:rsidRDefault="00D90BD1" w:rsidP="00D90BD1">
      <w:pPr>
        <w:spacing w:line="360" w:lineRule="auto"/>
        <w:jc w:val="center"/>
        <w:rPr>
          <w:b/>
          <w:color w:val="44546A" w:themeColor="text2"/>
          <w:sz w:val="24"/>
          <w:szCs w:val="24"/>
        </w:rPr>
      </w:pPr>
      <w:proofErr w:type="spellStart"/>
      <w:r w:rsidRPr="00D90BD1">
        <w:rPr>
          <w:b/>
          <w:color w:val="44546A" w:themeColor="text2"/>
          <w:sz w:val="24"/>
          <w:szCs w:val="24"/>
        </w:rPr>
        <w:t>Nesstor</w:t>
      </w:r>
      <w:proofErr w:type="spellEnd"/>
      <w:r w:rsidRPr="00D90BD1">
        <w:rPr>
          <w:b/>
          <w:color w:val="44546A" w:themeColor="text2"/>
          <w:sz w:val="24"/>
          <w:szCs w:val="24"/>
        </w:rPr>
        <w:t xml:space="preserve"> Pilco-Ferreto1; Carlos Medina-Morillas2; Richard Ponce-Cusi3*</w:t>
      </w:r>
    </w:p>
    <w:p w14:paraId="698873B8" w14:textId="77777777" w:rsidR="00D90BD1" w:rsidRPr="00D90BD1" w:rsidRDefault="00D90BD1" w:rsidP="00D90BD1">
      <w:pPr>
        <w:pStyle w:val="Prrafodelista"/>
        <w:numPr>
          <w:ilvl w:val="0"/>
          <w:numId w:val="13"/>
        </w:numPr>
        <w:spacing w:line="360" w:lineRule="auto"/>
        <w:jc w:val="both"/>
        <w:rPr>
          <w:rFonts w:ascii="Times New Roman" w:hAnsi="Times New Roman" w:cs="Times New Roman"/>
          <w:bCs/>
          <w:color w:val="44546A" w:themeColor="text2"/>
          <w:sz w:val="24"/>
          <w:szCs w:val="24"/>
        </w:rPr>
      </w:pPr>
      <w:r w:rsidRPr="00D90BD1">
        <w:rPr>
          <w:rFonts w:ascii="Times New Roman" w:hAnsi="Times New Roman" w:cs="Times New Roman"/>
          <w:bCs/>
          <w:color w:val="44546A" w:themeColor="text2"/>
          <w:sz w:val="24"/>
          <w:szCs w:val="24"/>
        </w:rPr>
        <w:t>Universidad Nacional de San Agustín.</w:t>
      </w:r>
    </w:p>
    <w:p w14:paraId="32CC5687" w14:textId="77777777" w:rsidR="00D90BD1" w:rsidRPr="00D90BD1" w:rsidRDefault="00D90BD1" w:rsidP="00D90BD1">
      <w:pPr>
        <w:pStyle w:val="Prrafodelista"/>
        <w:numPr>
          <w:ilvl w:val="0"/>
          <w:numId w:val="13"/>
        </w:numPr>
        <w:spacing w:line="360" w:lineRule="auto"/>
        <w:jc w:val="both"/>
        <w:rPr>
          <w:rFonts w:ascii="Times New Roman" w:hAnsi="Times New Roman" w:cs="Times New Roman"/>
          <w:bCs/>
          <w:color w:val="44546A" w:themeColor="text2"/>
          <w:sz w:val="24"/>
          <w:szCs w:val="24"/>
        </w:rPr>
      </w:pPr>
      <w:r w:rsidRPr="00D90BD1">
        <w:rPr>
          <w:rFonts w:ascii="Times New Roman" w:hAnsi="Times New Roman" w:cs="Times New Roman"/>
          <w:bCs/>
          <w:color w:val="44546A" w:themeColor="text2"/>
          <w:sz w:val="24"/>
          <w:szCs w:val="24"/>
        </w:rPr>
        <w:t>Universidad de Sevilla.</w:t>
      </w:r>
    </w:p>
    <w:p w14:paraId="6420361C" w14:textId="77777777" w:rsidR="00D90BD1" w:rsidRPr="00D90BD1" w:rsidRDefault="00D90BD1" w:rsidP="00D90BD1">
      <w:pPr>
        <w:pStyle w:val="Prrafodelista"/>
        <w:numPr>
          <w:ilvl w:val="0"/>
          <w:numId w:val="13"/>
        </w:numPr>
        <w:spacing w:line="360" w:lineRule="auto"/>
        <w:jc w:val="both"/>
        <w:rPr>
          <w:rFonts w:ascii="Times New Roman" w:hAnsi="Times New Roman" w:cs="Times New Roman"/>
          <w:bCs/>
          <w:color w:val="44546A" w:themeColor="text2"/>
          <w:sz w:val="24"/>
          <w:szCs w:val="24"/>
        </w:rPr>
      </w:pPr>
      <w:r w:rsidRPr="00D90BD1">
        <w:rPr>
          <w:rFonts w:ascii="Times New Roman" w:hAnsi="Times New Roman" w:cs="Times New Roman"/>
          <w:bCs/>
          <w:color w:val="44546A" w:themeColor="text2"/>
          <w:sz w:val="24"/>
          <w:szCs w:val="24"/>
          <w:lang w:val="en-US"/>
        </w:rPr>
        <w:t>Universidad Nacional de Moquegua.</w:t>
      </w:r>
    </w:p>
    <w:p w14:paraId="42C8AB6F" w14:textId="77777777" w:rsidR="00D90BD1" w:rsidRPr="00D90BD1" w:rsidRDefault="00D90BD1" w:rsidP="00D90BD1">
      <w:pPr>
        <w:pStyle w:val="Prrafodelista"/>
        <w:spacing w:line="360" w:lineRule="auto"/>
        <w:jc w:val="both"/>
        <w:rPr>
          <w:rFonts w:ascii="Times New Roman" w:hAnsi="Times New Roman" w:cs="Times New Roman"/>
          <w:bCs/>
          <w:color w:val="44546A" w:themeColor="text2"/>
          <w:sz w:val="24"/>
          <w:szCs w:val="24"/>
        </w:rPr>
      </w:pPr>
      <w:r w:rsidRPr="00D90BD1">
        <w:rPr>
          <w:rFonts w:ascii="Times New Roman" w:hAnsi="Times New Roman" w:cs="Times New Roman"/>
          <w:bCs/>
          <w:color w:val="44546A" w:themeColor="text2"/>
          <w:sz w:val="24"/>
          <w:szCs w:val="24"/>
          <w:lang w:val="en-US"/>
        </w:rPr>
        <w:t xml:space="preserve">* </w:t>
      </w:r>
      <w:r w:rsidRPr="00D90BD1">
        <w:rPr>
          <w:rFonts w:ascii="Times New Roman" w:hAnsi="Times New Roman" w:cs="Times New Roman"/>
          <w:bCs/>
          <w:i/>
          <w:iCs/>
          <w:color w:val="44546A" w:themeColor="text2"/>
          <w:sz w:val="24"/>
          <w:szCs w:val="24"/>
          <w:lang w:val="en-US"/>
        </w:rPr>
        <w:t xml:space="preserve">Autor </w:t>
      </w:r>
      <w:proofErr w:type="spellStart"/>
      <w:r w:rsidRPr="00D90BD1">
        <w:rPr>
          <w:rFonts w:ascii="Times New Roman" w:hAnsi="Times New Roman" w:cs="Times New Roman"/>
          <w:bCs/>
          <w:i/>
          <w:iCs/>
          <w:color w:val="44546A" w:themeColor="text2"/>
          <w:sz w:val="24"/>
          <w:szCs w:val="24"/>
          <w:lang w:val="en-US"/>
        </w:rPr>
        <w:t>corresponsal</w:t>
      </w:r>
      <w:proofErr w:type="spellEnd"/>
      <w:r w:rsidRPr="00D90BD1">
        <w:rPr>
          <w:rFonts w:ascii="Times New Roman" w:hAnsi="Times New Roman" w:cs="Times New Roman"/>
          <w:bCs/>
          <w:i/>
          <w:iCs/>
          <w:color w:val="44546A" w:themeColor="text2"/>
          <w:sz w:val="24"/>
          <w:szCs w:val="24"/>
          <w:lang w:val="en-US"/>
        </w:rPr>
        <w:t>: rponcec@unam.edu.pe</w:t>
      </w:r>
    </w:p>
    <w:p w14:paraId="2765A44E" w14:textId="77777777" w:rsidR="00D90BD1" w:rsidRPr="00D90BD1" w:rsidRDefault="00D90BD1" w:rsidP="00D90BD1">
      <w:pPr>
        <w:autoSpaceDE w:val="0"/>
        <w:autoSpaceDN w:val="0"/>
        <w:adjustRightInd w:val="0"/>
        <w:spacing w:after="0" w:line="240" w:lineRule="auto"/>
        <w:jc w:val="center"/>
        <w:rPr>
          <w:rFonts w:ascii="Times New Roman" w:hAnsi="Times New Roman" w:cs="Times New Roman"/>
          <w:b/>
          <w:bCs/>
          <w:color w:val="44546A" w:themeColor="text2"/>
          <w:sz w:val="24"/>
          <w:szCs w:val="24"/>
        </w:rPr>
      </w:pPr>
      <w:r w:rsidRPr="00D90BD1">
        <w:rPr>
          <w:rFonts w:ascii="Times New Roman" w:hAnsi="Times New Roman" w:cs="Times New Roman"/>
          <w:b/>
          <w:bCs/>
          <w:color w:val="44546A" w:themeColor="text2"/>
          <w:sz w:val="24"/>
          <w:szCs w:val="24"/>
        </w:rPr>
        <w:t>Ciencias Biológicas y de la Salud.</w:t>
      </w:r>
    </w:p>
    <w:p w14:paraId="015D1C28" w14:textId="77777777" w:rsidR="00D90BD1" w:rsidRDefault="00D90BD1" w:rsidP="00D90BD1">
      <w:pPr>
        <w:autoSpaceDE w:val="0"/>
        <w:autoSpaceDN w:val="0"/>
        <w:adjustRightInd w:val="0"/>
        <w:spacing w:after="0" w:line="240" w:lineRule="auto"/>
        <w:rPr>
          <w:rFonts w:ascii="Times New Roman" w:hAnsi="Times New Roman" w:cs="Times New Roman"/>
        </w:rPr>
      </w:pPr>
    </w:p>
    <w:p w14:paraId="6C0DD982"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color w:val="44546A" w:themeColor="text2"/>
          <w:sz w:val="24"/>
          <w:szCs w:val="24"/>
        </w:rPr>
      </w:pPr>
      <w:r w:rsidRPr="00D90BD1">
        <w:rPr>
          <w:rFonts w:ascii="Times New Roman" w:hAnsi="Times New Roman" w:cs="Times New Roman"/>
          <w:b/>
          <w:bCs/>
          <w:color w:val="44546A" w:themeColor="text2"/>
          <w:sz w:val="24"/>
          <w:szCs w:val="24"/>
        </w:rPr>
        <w:t xml:space="preserve">Palabras clave: </w:t>
      </w:r>
      <w:r w:rsidRPr="00D90BD1">
        <w:rPr>
          <w:rFonts w:ascii="Times New Roman" w:hAnsi="Times New Roman" w:cs="Times New Roman"/>
          <w:color w:val="44546A" w:themeColor="text2"/>
          <w:sz w:val="24"/>
          <w:szCs w:val="24"/>
        </w:rPr>
        <w:t xml:space="preserve">Bibliometría; biología molecular; investigación biomédica; PCR, ELISA; </w:t>
      </w:r>
      <w:proofErr w:type="spellStart"/>
      <w:r w:rsidRPr="00D90BD1">
        <w:rPr>
          <w:rFonts w:ascii="Times New Roman" w:hAnsi="Times New Roman" w:cs="Times New Roman"/>
          <w:color w:val="44546A" w:themeColor="text2"/>
          <w:sz w:val="24"/>
          <w:szCs w:val="24"/>
        </w:rPr>
        <w:t>Southern</w:t>
      </w:r>
      <w:proofErr w:type="spellEnd"/>
      <w:r w:rsidRPr="00D90BD1">
        <w:rPr>
          <w:rFonts w:ascii="Times New Roman" w:hAnsi="Times New Roman" w:cs="Times New Roman"/>
          <w:color w:val="44546A" w:themeColor="text2"/>
          <w:sz w:val="24"/>
          <w:szCs w:val="24"/>
        </w:rPr>
        <w:t xml:space="preserve"> </w:t>
      </w:r>
      <w:proofErr w:type="spellStart"/>
      <w:r w:rsidRPr="00D90BD1">
        <w:rPr>
          <w:rFonts w:ascii="Times New Roman" w:hAnsi="Times New Roman" w:cs="Times New Roman"/>
          <w:color w:val="44546A" w:themeColor="text2"/>
          <w:sz w:val="24"/>
          <w:szCs w:val="24"/>
        </w:rPr>
        <w:t>Blot</w:t>
      </w:r>
      <w:proofErr w:type="spellEnd"/>
      <w:r w:rsidRPr="00D90BD1">
        <w:rPr>
          <w:rFonts w:ascii="Times New Roman" w:hAnsi="Times New Roman" w:cs="Times New Roman"/>
          <w:color w:val="44546A" w:themeColor="text2"/>
          <w:sz w:val="24"/>
          <w:szCs w:val="24"/>
        </w:rPr>
        <w:t xml:space="preserve">; Western </w:t>
      </w:r>
      <w:proofErr w:type="spellStart"/>
      <w:r w:rsidRPr="00D90BD1">
        <w:rPr>
          <w:rFonts w:ascii="Times New Roman" w:hAnsi="Times New Roman" w:cs="Times New Roman"/>
          <w:color w:val="44546A" w:themeColor="text2"/>
          <w:sz w:val="24"/>
          <w:szCs w:val="24"/>
        </w:rPr>
        <w:t>Blot</w:t>
      </w:r>
      <w:proofErr w:type="spellEnd"/>
      <w:r w:rsidRPr="00D90BD1">
        <w:rPr>
          <w:rFonts w:ascii="Times New Roman" w:hAnsi="Times New Roman" w:cs="Times New Roman"/>
          <w:color w:val="44546A" w:themeColor="text2"/>
          <w:sz w:val="24"/>
          <w:szCs w:val="24"/>
        </w:rPr>
        <w:t>.</w:t>
      </w:r>
    </w:p>
    <w:p w14:paraId="6A5E4C28" w14:textId="77777777" w:rsidR="00D90BD1" w:rsidRPr="00B430B8" w:rsidRDefault="00D90BD1" w:rsidP="00D90BD1">
      <w:pPr>
        <w:autoSpaceDE w:val="0"/>
        <w:autoSpaceDN w:val="0"/>
        <w:adjustRightInd w:val="0"/>
        <w:spacing w:after="0" w:line="240" w:lineRule="auto"/>
        <w:rPr>
          <w:rFonts w:ascii="Times New Roman" w:hAnsi="Times New Roman" w:cs="Times New Roman"/>
          <w:color w:val="000000" w:themeColor="text1"/>
        </w:rPr>
      </w:pPr>
    </w:p>
    <w:p w14:paraId="3E9C908B" w14:textId="77777777" w:rsidR="00D90BD1" w:rsidRPr="00D90BD1" w:rsidRDefault="00D90BD1" w:rsidP="00D90BD1">
      <w:pPr>
        <w:autoSpaceDE w:val="0"/>
        <w:autoSpaceDN w:val="0"/>
        <w:adjustRightInd w:val="0"/>
        <w:spacing w:after="0" w:line="360" w:lineRule="auto"/>
        <w:jc w:val="center"/>
        <w:rPr>
          <w:rFonts w:ascii="Times New Roman" w:hAnsi="Times New Roman" w:cs="Times New Roman"/>
          <w:b/>
          <w:color w:val="4472C4" w:themeColor="accent5"/>
          <w:sz w:val="24"/>
          <w:szCs w:val="24"/>
        </w:rPr>
      </w:pPr>
      <w:r w:rsidRPr="00D90BD1">
        <w:rPr>
          <w:rFonts w:ascii="Times New Roman" w:hAnsi="Times New Roman" w:cs="Times New Roman"/>
          <w:b/>
          <w:color w:val="4472C4" w:themeColor="accent5"/>
          <w:sz w:val="24"/>
          <w:szCs w:val="24"/>
        </w:rPr>
        <w:t>INTRODUCCIÓN</w:t>
      </w:r>
    </w:p>
    <w:p w14:paraId="1762018F"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Cs/>
          <w:color w:val="4472C4" w:themeColor="accent5"/>
          <w:sz w:val="24"/>
          <w:szCs w:val="24"/>
        </w:rPr>
      </w:pPr>
      <w:r w:rsidRPr="00D90BD1">
        <w:rPr>
          <w:rFonts w:ascii="Times New Roman" w:hAnsi="Times New Roman" w:cs="Times New Roman"/>
          <w:bCs/>
          <w:color w:val="4472C4" w:themeColor="accent5"/>
          <w:sz w:val="24"/>
          <w:szCs w:val="24"/>
        </w:rPr>
        <w:t xml:space="preserve">La biología molecular (BM) es una disciplina dedicada al estudio de moléculas involucradas en la transferencia de información génica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ISBN":"978-1-4641-8339-3","author":[{"dropping-particle":"","family":"Lodish","given":"Harvey","non-dropping-particle":"","parse-names":false,"suffix":""},{"dropping-particle":"","family":"Berk","given":"Arnold","non-dropping-particle":"","parse-names":false,"suffix":""},{"dropping-particle":"","family":"Kaiser","given":"Chris A","non-dropping-particle":"","parse-names":false,"suffix":""},{"dropping-particle":"","family":"Krieger","given":"Monty","non-dropping-particle":"","parse-names":false,"suffix":""},{"dropping-particle":"","family":"Bretscher","given":"Anthony","non-dropping-particle":"","parse-names":false,"suffix":""},{"dropping-particle":"","family":"Ploegh","given":"Hidde","non-dropping-particle":"","parse-names":false,"suffix":""},{"dropping-particle":"","family":"Amon","given":"Angelika","non-dropping-particle":"","parse-names":false,"suffix":""},{"dropping-particle":"","family":"Martin","given":"Kelsey C","non-dropping-particle":"","parse-names":false,"suffix":""}],"edition":"Eight edit","editor":[{"dropping-particle":"","family":"Company","given":"W. H. Freeman and","non-dropping-particle":"","parse-names":false,"suffix":""}],"id":"ITEM-1","issued":{"date-parts":[["2012"]]},"number-of-pages":"37-39","publisher":"Parker, Katherine Ahr","publisher-place":"New York","title":"Molecular Cell Biology","type":"book","volume":"66"},"uris":["http://www.mendeley.com/documents/?uuid=bc8ac61c-a97c-4649-b1f5-652f1cc4d7f9"]}],"mendeley":{"formattedCitation":"(Lodish et al., 2012)","plainTextFormattedCitation":"(Lodish et al., 2012)","previouslyFormattedCitation":"(Lodish et al., 2012)"},"properties":{"noteIndex":0},"schema":"https://github.com/citation-style-language/schema/raw/master/csl-citation.json"}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(Lodish et al., 2012)</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 xml:space="preserve">. La BM es relevante por el uso continuo de tecnología asociada al campo médico incidiendo directamente en el diagnóstico médico lo que se puede evidenciar mediante comunicaciones científicas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{"citationItems":[{"id":"ITEM-1","itemData":{"PMID":"16886042","abstract":"Diagnostic molecular biology is arguably the fastest growing area of laboratory medicine and has the potential for a major impact on clinical medicine within the next decade. As this area develops, so will our understanding of how structural variations in DNA and RNA are associated with the development of chronic diseases. New technologies have contributed to the dramatic acceleration in our capacity to investigate the genetic components of disease. Future developments in this area will be fuelled by improvements in technology and the availability of large, carefully documented study populations. Many","author":[{"dropping-particle":"","family":"Beilby","given":"John","non-dropping-particle":"","parse-names":false,"suffix":""}],"container-title":"Clin Biochem Rev","id":"ITEM-1","issue":"February","issued":{"date-parts":[["2006"]]},"page":"3-4","title":"Diagnostic molecular biology","type":"article-journal","volume":"27"},"uris":["http://www.mendeley.com/documents/?uuid=1a5f1645-1610-4128-8a98-70ff8201482c"]},{"id":"ITEM-2","itemData":{"DOI":"10.1385/1-59259-085-3:1","ISSN":"1543-1894","abstract":"Molecular biology was first referred to as the study of the chemical and physical structure of biological macromolecules such as nucleic acids and proteins. Nucleic acids, deoxyribonucleic acid (DNA), and ribonucleic acid (RNA) are polymers that consist of nucleotides. Proteins are polymers that consist of several amino acids. DNA and RNA encode the genetic information that specifies the primary structure of the proteins unique to the organism. Thus, a study of the interrelation between nucleic acids and proteins may provide an understanding to the biological function of a gene.","author":[{"dropping-particle":"","family":"Lai","given":"Chooi-May","non-dropping-particle":"","parse-names":false,"suffix":""}],"chapter-number":"Basic Mole","container-title":"Methods in Molecular Medicine","editor":[{"dropping-particle":"","family":"Rakoczy","given":"PE","non-dropping-particle":"","parse-names":false,"suffix":""}],"id":"ITEM-2","issued":{"date-parts":[["2003"]]},"page":"1-30","title":"Basic Molecular Biology Techniques","type":"chapter","volume":"47"},"uris":["http://www.mendeley.com/documents/?uuid=8acbebe7-9439-4aad-bbd3-40865aaea80c"]}],"mendeley":{"formattedCitation":"(Beilby, 2006; Lai, 2003)","plainTextFormattedCitation":"(Beilby, 2006; Lai, 2003)","previouslyFormattedCitation":"(Beilby, 2006; Lai, 2003)"},"properties":{"noteIndex":0},"schema":"https://github.com/citation-style-language/schema/raw/master/csl-citation.json"}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(Beilby, 2006; Lai, 2003)</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 xml:space="preserve">. En ese sentido, en el Perú, las instituciones académicas y centros de investigación hacen uso de tecnologías asociadas a BM con fines de investigación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{"citationItems":[{"id":"ITEM-1","itemData":{"ISSN":"2313-3171","abstract":"El hito inicial del Proyecto del Genoma Humano y del dogma de la biología molecular, provocaron un gran auge de esta rama que dio pie a la genómica, es así que este articulo plantea los conocimientos y definiciones básicas en genómica, la importancia de esta ciencia ómicas que afecta en muchas áreas y aspectos al hombre, las grandes áreas o divisiones en las que aplica esta ciencia, el estudio de técnicas y tecnologías desde el método enzimático de Sanger hasta las tecnologías Next Generation Sequence (NGS) de los últimos años, finalizando con los avances de la genómica en el Perú por instituciones y universidades. Resaltando trabajos en el estudio de enfrentar enfermedades como la tuberculosis, el desarrollo de la filogenia y comparación de genomas de algunos organismos no identificados y la secuenciación de plantas representantes del Perú como la papa. Estos trabajos usan distintos puntos de la genómica con una variedad de tecnologías que es gracias al financiamiento económico de alguna entidad del estado; pero que al final su propósito es buscar una solución de alguna problemática o proveer un beneficio al país. Palabras","author":[{"dropping-particle":"","family":"Alcalde-Alvites","given":"Miguel Á","non-dropping-particle":"","parse-names":false,"suffix":""}],"container-title":"Revista Rebiol","id":"ITEM-1","issue":"2","issued":{"date-parts":[["2015"]]},"page":"117-128","title":"Genómica: Definiciones, tecnologías y avances en el Perú","type":"article-journal","volume":"35"},"uris":["http://www.mendeley.com/documents/?uuid=8ed04549-a72c-47de-a5a6-354a5fdf7633"]}],"mendeley":{"formattedCitation":"(Alcalde-Alvites, 2015)","plainTextFormattedCitation":"(Alcalde-Alvites, 2015)","previouslyFormattedCitation":"(Alcalde-alvites, 2015)"},"properties":{"noteIndex":0},"schema":"https://github.com/citation-style-language/schema/raw/master/csl-citation.json"}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(Alcalde-Alvites, 2015)</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 Sin embargo, no existe un registro analítico del uso de las tecnologías en biomedicina y BM publicadas en revistas científicas indexadas del país, por lo tanto, el objetivo de este estudio fue estimar la cantidad, diversidad y tendencia del uso de técnicas en biología molecular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desde el año 2010 hasta el 2019.</w:t>
      </w:r>
    </w:p>
    <w:p w14:paraId="25E2955B"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
          <w:color w:val="4472C4" w:themeColor="accent5"/>
          <w:sz w:val="24"/>
          <w:szCs w:val="24"/>
        </w:rPr>
      </w:pPr>
      <w:r w:rsidRPr="00D90BD1">
        <w:rPr>
          <w:rFonts w:ascii="Times New Roman" w:hAnsi="Times New Roman" w:cs="Times New Roman"/>
          <w:b/>
          <w:color w:val="4472C4" w:themeColor="accent5"/>
          <w:sz w:val="24"/>
          <w:szCs w:val="24"/>
        </w:rPr>
        <w:t>METODOLOGÍA</w:t>
      </w:r>
    </w:p>
    <w:p w14:paraId="008885B3"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Cs/>
          <w:color w:val="4472C4" w:themeColor="accent5"/>
          <w:sz w:val="24"/>
          <w:szCs w:val="24"/>
        </w:rPr>
      </w:pPr>
      <w:r w:rsidRPr="00D90BD1">
        <w:rPr>
          <w:rFonts w:ascii="Times New Roman" w:hAnsi="Times New Roman" w:cs="Times New Roman"/>
          <w:color w:val="4472C4" w:themeColor="accent5"/>
          <w:sz w:val="24"/>
          <w:szCs w:val="24"/>
        </w:rPr>
        <w:t>Se obtuvieron datos de investigaciones científicas comprendidas entre los años 2010 y 2019 pertenecientes a artículos originales y reporte de casos publicados en revistas médicas peruanas. Se analizaron las publicaciones científicas indexadas en bases de datos Scopus como la Revista Peruana de Medicina Experimental y Salud Pública (</w:t>
      </w:r>
      <w:proofErr w:type="spellStart"/>
      <w:r w:rsidRPr="00D90BD1">
        <w:rPr>
          <w:rFonts w:ascii="Times New Roman" w:hAnsi="Times New Roman" w:cs="Times New Roman"/>
          <w:color w:val="4472C4" w:themeColor="accent5"/>
          <w:sz w:val="24"/>
          <w:szCs w:val="24"/>
        </w:rPr>
        <w:t>RPMESP</w:t>
      </w:r>
      <w:proofErr w:type="spellEnd"/>
      <w:r w:rsidRPr="00D90BD1">
        <w:rPr>
          <w:rFonts w:ascii="Times New Roman" w:hAnsi="Times New Roman" w:cs="Times New Roman"/>
          <w:color w:val="4472C4" w:themeColor="accent5"/>
          <w:sz w:val="24"/>
          <w:szCs w:val="24"/>
        </w:rPr>
        <w:t>) del Instituto Nacional de Salud del Perú, y en Scielo como: Revista Médica Herediana (</w:t>
      </w:r>
      <w:proofErr w:type="spellStart"/>
      <w:r w:rsidRPr="00D90BD1">
        <w:rPr>
          <w:rFonts w:ascii="Times New Roman" w:hAnsi="Times New Roman" w:cs="Times New Roman"/>
          <w:color w:val="4472C4" w:themeColor="accent5"/>
          <w:sz w:val="24"/>
          <w:szCs w:val="24"/>
        </w:rPr>
        <w:t>RMH</w:t>
      </w:r>
      <w:proofErr w:type="spellEnd"/>
      <w:r w:rsidRPr="00D90BD1">
        <w:rPr>
          <w:rFonts w:ascii="Times New Roman" w:hAnsi="Times New Roman" w:cs="Times New Roman"/>
          <w:color w:val="4472C4" w:themeColor="accent5"/>
          <w:sz w:val="24"/>
          <w:szCs w:val="24"/>
        </w:rPr>
        <w:t>) de la Facultad de Medicina de la Universidad Peruana Cayetano Heredia; Anales de la Facultad de Medicina (</w:t>
      </w:r>
      <w:proofErr w:type="spellStart"/>
      <w:r w:rsidRPr="00D90BD1">
        <w:rPr>
          <w:rFonts w:ascii="Times New Roman" w:hAnsi="Times New Roman" w:cs="Times New Roman"/>
          <w:color w:val="4472C4" w:themeColor="accent5"/>
          <w:sz w:val="24"/>
          <w:szCs w:val="24"/>
        </w:rPr>
        <w:t>AFM</w:t>
      </w:r>
      <w:proofErr w:type="spellEnd"/>
      <w:r w:rsidRPr="00D90BD1">
        <w:rPr>
          <w:rFonts w:ascii="Times New Roman" w:hAnsi="Times New Roman" w:cs="Times New Roman"/>
          <w:color w:val="4472C4" w:themeColor="accent5"/>
          <w:sz w:val="24"/>
          <w:szCs w:val="24"/>
        </w:rPr>
        <w:t xml:space="preserve">) de la Universidad Nacional Mayor de San Marcos y </w:t>
      </w:r>
      <w:r w:rsidRPr="00D90BD1">
        <w:rPr>
          <w:rFonts w:ascii="Times New Roman" w:hAnsi="Times New Roman" w:cs="Times New Roman"/>
          <w:color w:val="4472C4" w:themeColor="accent5"/>
          <w:sz w:val="24"/>
          <w:szCs w:val="24"/>
        </w:rPr>
        <w:lastRenderedPageBreak/>
        <w:t>Acta Médica Peruana (</w:t>
      </w:r>
      <w:proofErr w:type="spellStart"/>
      <w:r w:rsidRPr="00D90BD1">
        <w:rPr>
          <w:rFonts w:ascii="Times New Roman" w:hAnsi="Times New Roman" w:cs="Times New Roman"/>
          <w:color w:val="4472C4" w:themeColor="accent5"/>
          <w:sz w:val="24"/>
          <w:szCs w:val="24"/>
        </w:rPr>
        <w:t>AMP</w:t>
      </w:r>
      <w:proofErr w:type="spellEnd"/>
      <w:r w:rsidRPr="00D90BD1">
        <w:rPr>
          <w:rFonts w:ascii="Times New Roman" w:hAnsi="Times New Roman" w:cs="Times New Roman"/>
          <w:color w:val="4472C4" w:themeColor="accent5"/>
          <w:sz w:val="24"/>
          <w:szCs w:val="24"/>
        </w:rPr>
        <w:t>) del Colegio Médico Peruano.</w:t>
      </w:r>
      <w:r w:rsidRPr="00D90BD1">
        <w:rPr>
          <w:rFonts w:ascii="Times New Roman" w:hAnsi="Times New Roman" w:cs="Times New Roman"/>
          <w:bCs/>
          <w:color w:val="4472C4" w:themeColor="accent5"/>
          <w:sz w:val="24"/>
          <w:szCs w:val="24"/>
        </w:rPr>
        <w:t xml:space="preserve"> También se evaluaron las filiaciones institucionales excluyendo a las que presentaban origen extranjero.</w:t>
      </w:r>
    </w:p>
    <w:p w14:paraId="107DDC01"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
          <w:color w:val="4472C4" w:themeColor="accent5"/>
          <w:sz w:val="24"/>
          <w:szCs w:val="24"/>
        </w:rPr>
      </w:pPr>
      <w:r w:rsidRPr="00D90BD1">
        <w:rPr>
          <w:rFonts w:ascii="Times New Roman" w:hAnsi="Times New Roman" w:cs="Times New Roman"/>
          <w:b/>
          <w:color w:val="4472C4" w:themeColor="accent5"/>
          <w:sz w:val="24"/>
          <w:szCs w:val="24"/>
        </w:rPr>
        <w:t xml:space="preserve">RESULTADOS </w:t>
      </w:r>
    </w:p>
    <w:p w14:paraId="476DB9C7"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Cs/>
          <w:color w:val="4472C4" w:themeColor="accent5"/>
          <w:sz w:val="24"/>
          <w:szCs w:val="24"/>
        </w:rPr>
      </w:pPr>
      <w:r w:rsidRPr="00D90BD1">
        <w:rPr>
          <w:rFonts w:ascii="Times New Roman" w:hAnsi="Times New Roman" w:cs="Times New Roman"/>
          <w:color w:val="4472C4" w:themeColor="accent5"/>
          <w:sz w:val="24"/>
          <w:szCs w:val="24"/>
        </w:rPr>
        <w:t xml:space="preserve">Se analizaron 1404 artículos científicos desde el 2010 - 2019 publicados en las revistas descritas. </w:t>
      </w:r>
      <w:r w:rsidRPr="00D90BD1">
        <w:rPr>
          <w:rFonts w:ascii="Times New Roman" w:hAnsi="Times New Roman" w:cs="Times New Roman"/>
          <w:bCs/>
          <w:color w:val="4472C4" w:themeColor="accent5"/>
          <w:sz w:val="24"/>
          <w:szCs w:val="24"/>
        </w:rPr>
        <w:t xml:space="preserve">Se realizaron regresiones lineales del número de artículos por año que incluyeron el uso de las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xml:space="preserve"> para comprobar si existió una variación en la tendencia de su uso. Se encontró un aumento de la cantidad de artículos originales e informes clínicos sin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xml:space="preserve">, mientras que la cantidad de artículos originales sin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xml:space="preserve"> no varió significativamente. Adicionalmente, no se aprecian diferencias significativas en ninguno de los dos tipos de publicaciones analizadas que no incorporan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w:t>
      </w:r>
    </w:p>
    <w:p w14:paraId="577CDB19"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
          <w:color w:val="4472C4" w:themeColor="accent5"/>
          <w:sz w:val="24"/>
          <w:szCs w:val="24"/>
        </w:rPr>
      </w:pPr>
      <w:r w:rsidRPr="00D90BD1">
        <w:rPr>
          <w:rFonts w:ascii="Times New Roman" w:hAnsi="Times New Roman" w:cs="Times New Roman"/>
          <w:b/>
          <w:color w:val="4472C4" w:themeColor="accent5"/>
          <w:sz w:val="24"/>
          <w:szCs w:val="24"/>
        </w:rPr>
        <w:t xml:space="preserve">DISCUSIÓN </w:t>
      </w:r>
    </w:p>
    <w:p w14:paraId="6BEE4178"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Cs/>
          <w:color w:val="4472C4" w:themeColor="accent5"/>
          <w:sz w:val="24"/>
          <w:szCs w:val="24"/>
        </w:rPr>
      </w:pPr>
      <w:r w:rsidRPr="00D90BD1">
        <w:rPr>
          <w:rFonts w:ascii="Times New Roman" w:hAnsi="Times New Roman" w:cs="Times New Roman"/>
          <w:bCs/>
          <w:color w:val="4472C4" w:themeColor="accent5"/>
          <w:sz w:val="24"/>
          <w:szCs w:val="24"/>
        </w:rPr>
        <w:t xml:space="preserve">Se evidenció que no existe un aumento significativo de publicaciones reporte de casos y artículos originales que utilizan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xml:space="preserve"> a pesar de los incentivos económicos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DOI":"10.17843/rpmesp.2018.352.3327","ISSN":"1726-4634","author":[{"dropping-particle":"","family":"Nieto-Gutierrez","given":"Wendy","non-dropping-particle":"","parse-names":false,"suffix":""},{"dropping-particle":"","family":"Fernández-Chinguel","given":"José Ernesto","non-dropping-particle":"","parse-names":false,"suffix":""},{"dropping-particle":"","family":"Taype-Rondan","given":"Alvaro","non-dropping-particle":"","parse-names":false,"suffix":""},{"dropping-particle":"","family":"Pacheco-Mendoza","given":"Josmel","non-dropping-particle":"","parse-names":false,"suffix":""},{"dropping-particle":"","family":"Mayta-Tristán","given":"Percy","non-dropping-particle":"","parse-names":false,"suffix":""}],"container-title":"Revista Peruana de Medicina Experimental y Salud Pública","id":"ITEM-1","issue":"2","issued":{"date-parts":[["2018"]]},"page":"354-356","title":"Incentivos por publicación científica en universidades peruanas que cuentan con escuelas de medicina, 2017","type":"article-journal","volume":"35"},"uris":["http://www.mendeley.com/documents/?uuid=2bd7da8d-ae2a-4f84-a81d-95aad7d6bcaf"]}],"mendeley":{"formattedCitation":"(Nieto-Gutierrez et al., 2018)","plainTextFormattedCitation":"(Nieto-Gutierrez et al., 2018)","previouslyFormattedCitation":"(Nieto-Gutierrez et al., 2018)"},"properties":{"noteIndex":0},"schema":"https://github.com/citation-style-language/schema/raw/master/csl-citation.json"}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(Nieto-Gutierrez et al., 2018)</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 xml:space="preserve">. Varios autores en estudios bibliométricos en el campo médico peruano señalan que la producción científica peruana aún es insuficiente y que debe ser potenciada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{"citationItems":[{"id":"ITEM-1","itemData":{"DOI":"10.3989/redc.2017.3.1419","ISBN":"0000000222518","ISSN":"1988-4621","abstract":"© 2017 CSIC. This paper presents for the first time an overview of the state of current Peruvian journals. After retrieving and filtering records from LATINDEX, 138 journals were identified and characterized by the following variables: geographical origin, publisher, frequency, format (print, electronic, or both), and subject. The results show that Peruvian journals are mostly published in Lima (66.7%) by a university (73.9%), come out every six months (56.5%) both in print and electronically (67.4%), and publish articles mainly about natural sciences (35.5%). The article points out some problematic issues as well as certain measures for improving the Peruvian journal publishing market.","author":[{"dropping-particle":"","family":"Santillán-Aldana","given":"Julio","non-dropping-particle":"","parse-names":false,"suffix":""},{"dropping-particle":"","family":"Arakaki","given":"Mónica","non-dropping-particle":"","parse-names":false,"suffix":""},{"dropping-particle":"","family":"la Vega","given":"Aurora","non-dropping-particle":"de","parse-names":false,"suffix":""},{"dropping-particle":"","family":"Calderón-Carranza","given":"Mónica","non-dropping-particle":"","parse-names":false,"suffix":""},{"dropping-particle":"","family":"Pacheco-Mendoza","given":"Josmel","non-dropping-particle":"","parse-names":false,"suffix":""}],"container-title":"Revista Española de Documentación Científica","id":"ITEM-1","issue":"3","issued":{"date-parts":[["2017"]]},"page":"e182-e182","title":"General characteristics of Peruvian scientific journals","type":"article-journal","volume":"40"},"uris":["http://www.mendeley.com/documents/?uuid=7c11345b-ed21-4b6c-9a68-9421d3ffbc42"]}],"mendeley":{"formattedCitation":"(Santillán-Aldana et al., 2017)","plainTextFormattedCitation":"(Santillán-Aldana et al., 2017)","previouslyFormattedCitation":"(Santillán-Aldana et al., 2017)"},"properties":{"noteIndex":0},"schema":"https://github.com/citation-style-language/schema/raw/master/csl-citation.json"}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(Santillán-Aldana et al., 2017)</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 xml:space="preserve">, esta escasez incluso abarca las agendas nacionales de investigación en el Perú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{"citationItems":[{"id":"ITEM-1","itemData":{"DOI":"10.15381/anales.v77i3.12410","ISSN":"1025-5583","abstract":"Objetivo. Analizar la producción científica enmarcada en las Agendas Nacionales de Investigación de Perú, periodo 2011-2014. Diseño. Estudio bibliométrico en las bases de datos SCOPUS, LILACS y LIPECS. Lugar. Instituto Nacional de Salud, Lima, Perú. Unidad de análisis. Artículo original que cuenta con al menos un investigador con filiación a una institución peruana o cuya población de estudio o parte de ella procede de Perú y enmarcados en algún tema de las Agendas Nacionales de Investigación. Principales medidas de resultados. Indicadores bibliométricos de producción. Resultados. De las 882 publicaciones recuperadas, 215 (24,4%) ingresaron al análisis. Las Agendas Nacionales de Investigación con mayor producción científica fueron sobre tuberculosis e ITS-VIH/sida con 78 y 59 artículos. El idioma más frecuente de publicación fue el inglés (69,8%). Los artículos fueron publicados en 90 revistas científicas. Las instituciones peruanas con mayor cantidad de firmas en artículos originales fueron la Universidad Peruana Cayetano Heredia (49,3%), seguido por el Ministerio de Salud (19,5%) e Instituto Nacional de Salud (14,4%). Los Institutos Nacionales de Salud de los Estados Unidos participaron en el financiamiento del 50,7% de los artículos analizados. Las instituciones peruanas que más investigaciones han financiado son el Instituto Nacional de Salud (4,2%) y el MINSA (2,8%). Conclusiones. La producción científica peruana enmarcada en las seis Agendas Nacionales de Investigación del periodo 2011-2014 es limitada, a predominio de la investigación en tuberculosis y ITS-VIH/sida, y se encuentra financiada principalmente por instituciones internacionales.","author":[{"dropping-particle":"","family":"Romani Romani","given":"Franco Ronald","non-dropping-particle":"","parse-names":false,"suffix":""},{"dropping-particle":"","family":"Roque Henríquez","given":"Joel","non-dropping-particle":"","parse-names":false,"suffix":""},{"dropping-particle":"","family":"Vásquez Loarte","given":"Tania","non-dropping-particle":"","parse-names":false,"suffix":""},{"dropping-particle":"","family":"Mormontoy Calvo","given":"Henry","non-dropping-particle":"","parse-names":false,"suffix":""},{"dropping-particle":"","family":"Vásquez Soplopuco","given":"Hans","non-dropping-particle":"","parse-names":false,"suffix":""}],"container-title":"Anales de la Facultad de Medicina","id":"ITEM-1","issue":"3","issued":{"date-parts":[["2016"]]},"page":"241","title":"Análisis bibliométrico de la producción científica sobre las agendas nacionales de investigación en el Perú 2011-2014","type":"article-journal","volume":"77"},"uris":["http://www.mendeley.com/documents/?uuid=e36e2931-349f-4a5d-a822-c5884f433ffd"]}],"mendeley":{"formattedCitation":"(Romani Romani et al., 2016)","plainTextFormattedCitation":"(Romani Romani et al., 2016)","previouslyFormattedCitation":"(Romani Romani et al., 2016)"},"properties":{"noteIndex":0},"schema":"https://github.com/citation-style-language/schema/raw/master/csl-citation.json"}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(Romani Romani et al., 2016)</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 xml:space="preserve">. En este trabajo se evidenció un incremento de publicaciones por año en el tipo reporte de casos sin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xml:space="preserve">, lo cual coincide con algunos autores que refieren una tendencia creciente en el número de publicaciones </w:t>
      </w: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ADDIN CSL_CITATION {"citationItems":[{"id":"ITEM-1","itemData":{"DOI":"10.17843/rpmesp.2018.354.3817","ISSN":"1726-4634","abstract":"Objetivos. Caracterizar mediante indicadores bibliométricos las publicaciones científicas de la Revista Peruana de Medicina Experimental y Salud Pública (RPMESP) en el periodo 2010-2017. Material y métodos. Estudio bibliométrico, las publicaciones fueron recuperadas de la base de datos Scopus. Los indicadores bibliométricos de producción fueron: número de publicaciones por año y tipo de publicación. Se consideró a los artículos originales y originales breves como unidades de análisis para el número de autores, filiación institucional y país de autor corresponsal, tipo de investigación y diseño de estudio. Los indicadores de impacto fueron: número de citas por publicación según Scopus, métricas de impacto como el CiteScore, Scimago Journal &amp; Country Rank (SJR) y SciELO Salud Pública. Resultados. Un total de 1045 publicaciones fueron realizadas por la RPMESP. El 40,1% de las publicaciones correspondieron a artículos originales y originales breves, 1837 autores contribuyeron con dichas publicaciones. 134 filiaciones institucionales fueron declaradas por los autores corresponsales. 48,0% fueron investigaciones sobre determinantes de un problema de salud, por otro lado, 90,5% correspondieron a estudios observacionales. Las publicaciones analizadas recibieron 945 citas, de las cuales 78,5% fueron de publicaciones del periodo 2010-2013. Conclusiones. Cuatro de diez publicaciones de la RPMESP corresponden a artículos originales u originales breves. Las métricas de impacto de la RPMESP según diversas fórmulas de cálculo muestran una tendencia creciente, sin embargo, su magnitud es menor comparada con otras revistas de alcance regional.","author":[{"dropping-particle":"","family":"Romaní","given":"Franco","non-dropping-particle":"","parse-names":false,"suffix":""},{"dropping-particle":"","family":"Cabezas","given":"César","non-dropping-particle":"","parse-names":false,"suffix":""}],"container-title":"Revista Peruana de Medicina Experimental y Salud Pública","id":"ITEM-1","issue":"4","issued":{"date-parts":[["2018"]]},"page":"620","title":"Indicadores bibliométricos de las publicaciones científicas de la Revista Peruana de Medicina Experimental y Salud Pública, 2010-2017","type":"article-journal","volume":"35"},"uris":["http://www.mendeley.com/documents/?uuid=e086eb1c-fb97-499c-a626-36746ae7227d"]}],"mendeley":{"formattedCitation":"(Romaní &amp; Cabezas, 2018)","plainTextFormattedCitation":"(Romaní &amp; Cabezas, 2018)","previouslyFormattedCitation":"(Romaní &amp; Cabezas, 2018)"},"properties":{"noteIndex":0},"schema":"https://github.com/citation-style-language/schema/raw/master/csl-citation.json"}</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bCs/>
          <w:noProof/>
          <w:color w:val="4472C4" w:themeColor="accent5"/>
          <w:sz w:val="24"/>
          <w:szCs w:val="24"/>
        </w:rPr>
        <w:t>(Romaní &amp; Cabezas, 2018)</w:t>
      </w:r>
      <w:r w:rsidRPr="00D90BD1">
        <w:rPr>
          <w:rFonts w:ascii="Times New Roman" w:hAnsi="Times New Roman" w:cs="Times New Roman"/>
          <w:bCs/>
          <w:color w:val="4472C4" w:themeColor="accent5"/>
          <w:sz w:val="24"/>
          <w:szCs w:val="24"/>
        </w:rPr>
        <w:fldChar w:fldCharType="end"/>
      </w:r>
      <w:r w:rsidRPr="00D90BD1">
        <w:rPr>
          <w:rFonts w:ascii="Times New Roman" w:hAnsi="Times New Roman" w:cs="Times New Roman"/>
          <w:bCs/>
          <w:color w:val="4472C4" w:themeColor="accent5"/>
          <w:sz w:val="24"/>
          <w:szCs w:val="24"/>
        </w:rPr>
        <w:t>.</w:t>
      </w:r>
    </w:p>
    <w:p w14:paraId="2E528E4F"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
          <w:color w:val="4472C4" w:themeColor="accent5"/>
          <w:sz w:val="24"/>
          <w:szCs w:val="24"/>
        </w:rPr>
      </w:pPr>
      <w:r w:rsidRPr="00D90BD1">
        <w:rPr>
          <w:rFonts w:ascii="Times New Roman" w:hAnsi="Times New Roman" w:cs="Times New Roman"/>
          <w:b/>
          <w:color w:val="4472C4" w:themeColor="accent5"/>
          <w:sz w:val="24"/>
          <w:szCs w:val="24"/>
        </w:rPr>
        <w:t>CONCLUSIONES</w:t>
      </w:r>
    </w:p>
    <w:p w14:paraId="302A2DF7" w14:textId="77777777" w:rsidR="00D90BD1" w:rsidRPr="00D90BD1" w:rsidRDefault="00D90BD1" w:rsidP="00D90BD1">
      <w:pPr>
        <w:spacing w:line="360" w:lineRule="auto"/>
        <w:jc w:val="both"/>
        <w:rPr>
          <w:rFonts w:ascii="Times New Roman" w:hAnsi="Times New Roman" w:cs="Times New Roman"/>
          <w:bCs/>
          <w:color w:val="4472C4" w:themeColor="accent5"/>
          <w:sz w:val="24"/>
          <w:szCs w:val="24"/>
        </w:rPr>
      </w:pPr>
      <w:r w:rsidRPr="00D90BD1">
        <w:rPr>
          <w:rFonts w:ascii="Times New Roman" w:hAnsi="Times New Roman" w:cs="Times New Roman"/>
          <w:color w:val="4472C4" w:themeColor="accent5"/>
          <w:sz w:val="24"/>
          <w:szCs w:val="24"/>
        </w:rPr>
        <w:t xml:space="preserve">Se concluye que no existe una tendencia positiva respecto al uso de </w:t>
      </w:r>
      <w:proofErr w:type="spellStart"/>
      <w:r w:rsidRPr="00D90BD1">
        <w:rPr>
          <w:rFonts w:ascii="Times New Roman" w:hAnsi="Times New Roman" w:cs="Times New Roman"/>
          <w:color w:val="4472C4" w:themeColor="accent5"/>
          <w:sz w:val="24"/>
          <w:szCs w:val="24"/>
        </w:rPr>
        <w:t>TBM</w:t>
      </w:r>
      <w:proofErr w:type="spellEnd"/>
      <w:r w:rsidRPr="00D90BD1">
        <w:rPr>
          <w:rFonts w:ascii="Times New Roman" w:hAnsi="Times New Roman" w:cs="Times New Roman"/>
          <w:color w:val="4472C4" w:themeColor="accent5"/>
          <w:sz w:val="24"/>
          <w:szCs w:val="24"/>
        </w:rPr>
        <w:t xml:space="preserve"> en publicaciones originales y reporte de casos desde el año 2010 al 2019. </w:t>
      </w:r>
      <w:r w:rsidRPr="00D90BD1">
        <w:rPr>
          <w:rFonts w:ascii="Times New Roman" w:hAnsi="Times New Roman" w:cs="Times New Roman"/>
          <w:bCs/>
          <w:color w:val="4472C4" w:themeColor="accent5"/>
          <w:sz w:val="24"/>
          <w:szCs w:val="24"/>
        </w:rPr>
        <w:t xml:space="preserve">Una escasa cantidad del uso de </w:t>
      </w:r>
      <w:proofErr w:type="spellStart"/>
      <w:r w:rsidRPr="00D90BD1">
        <w:rPr>
          <w:rFonts w:ascii="Times New Roman" w:hAnsi="Times New Roman" w:cs="Times New Roman"/>
          <w:bCs/>
          <w:color w:val="4472C4" w:themeColor="accent5"/>
          <w:sz w:val="24"/>
          <w:szCs w:val="24"/>
        </w:rPr>
        <w:t>TBM</w:t>
      </w:r>
      <w:proofErr w:type="spellEnd"/>
      <w:r w:rsidRPr="00D90BD1">
        <w:rPr>
          <w:rFonts w:ascii="Times New Roman" w:hAnsi="Times New Roman" w:cs="Times New Roman"/>
          <w:bCs/>
          <w:color w:val="4472C4" w:themeColor="accent5"/>
          <w:sz w:val="24"/>
          <w:szCs w:val="24"/>
        </w:rPr>
        <w:t xml:space="preserve"> indicaría posibles problemas logísticos, administrativos o costos operativos por parte de las entidades universitarias y hospitalarias a nivel nacional. La mayor proporción de artículos reporte de casos del 2010 al 2019 por parte de hospitales e institutos de salud indicaría un progreso de la clínica peruana en la </w:t>
      </w:r>
      <w:r w:rsidRPr="00D90BD1">
        <w:rPr>
          <w:rFonts w:ascii="Times New Roman" w:hAnsi="Times New Roman" w:cs="Times New Roman"/>
          <w:color w:val="4472C4" w:themeColor="accent5"/>
          <w:sz w:val="24"/>
          <w:szCs w:val="24"/>
        </w:rPr>
        <w:t>prevención, el diagnóstico y el tratamiento de enfermedades</w:t>
      </w:r>
      <w:r w:rsidRPr="00D90BD1">
        <w:rPr>
          <w:rFonts w:ascii="Times New Roman" w:hAnsi="Times New Roman" w:cs="Times New Roman"/>
          <w:bCs/>
          <w:color w:val="4472C4" w:themeColor="accent5"/>
          <w:sz w:val="24"/>
          <w:szCs w:val="24"/>
        </w:rPr>
        <w:t xml:space="preserve">. </w:t>
      </w:r>
    </w:p>
    <w:p w14:paraId="5D321839" w14:textId="77777777" w:rsidR="00D90BD1" w:rsidRPr="00D90BD1" w:rsidRDefault="00D90BD1" w:rsidP="00D90BD1">
      <w:pPr>
        <w:autoSpaceDE w:val="0"/>
        <w:autoSpaceDN w:val="0"/>
        <w:adjustRightInd w:val="0"/>
        <w:spacing w:after="0" w:line="360" w:lineRule="auto"/>
        <w:jc w:val="both"/>
        <w:rPr>
          <w:rFonts w:ascii="Times New Roman" w:hAnsi="Times New Roman" w:cs="Times New Roman"/>
          <w:b/>
          <w:color w:val="4472C4" w:themeColor="accent5"/>
          <w:sz w:val="24"/>
          <w:szCs w:val="24"/>
        </w:rPr>
      </w:pPr>
      <w:r w:rsidRPr="00D90BD1">
        <w:rPr>
          <w:rFonts w:ascii="Times New Roman" w:hAnsi="Times New Roman" w:cs="Times New Roman"/>
          <w:b/>
          <w:color w:val="4472C4" w:themeColor="accent5"/>
          <w:sz w:val="24"/>
          <w:szCs w:val="24"/>
        </w:rPr>
        <w:t>REFERENCIAS BIBLIOGRÁFICAS</w:t>
      </w:r>
    </w:p>
    <w:p w14:paraId="65D82516"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bCs/>
          <w:color w:val="4472C4" w:themeColor="accent5"/>
          <w:sz w:val="24"/>
          <w:szCs w:val="24"/>
        </w:rPr>
        <w:fldChar w:fldCharType="begin" w:fldLock="1"/>
      </w:r>
      <w:r w:rsidRPr="00D90BD1">
        <w:rPr>
          <w:rFonts w:ascii="Times New Roman" w:hAnsi="Times New Roman" w:cs="Times New Roman"/>
          <w:bCs/>
          <w:color w:val="4472C4" w:themeColor="accent5"/>
          <w:sz w:val="24"/>
          <w:szCs w:val="24"/>
        </w:rPr>
        <w:instrText xml:space="preserve">ADDIN Mendeley Bibliography CSL_BIBLIOGRAPHY </w:instrText>
      </w:r>
      <w:r w:rsidRPr="00D90BD1">
        <w:rPr>
          <w:rFonts w:ascii="Times New Roman" w:hAnsi="Times New Roman" w:cs="Times New Roman"/>
          <w:bCs/>
          <w:color w:val="4472C4" w:themeColor="accent5"/>
          <w:sz w:val="24"/>
          <w:szCs w:val="24"/>
        </w:rPr>
        <w:fldChar w:fldCharType="separate"/>
      </w:r>
      <w:r w:rsidRPr="00D90BD1">
        <w:rPr>
          <w:rFonts w:ascii="Times New Roman" w:hAnsi="Times New Roman" w:cs="Times New Roman"/>
          <w:noProof/>
          <w:color w:val="4472C4" w:themeColor="accent5"/>
          <w:sz w:val="24"/>
          <w:szCs w:val="24"/>
        </w:rPr>
        <w:t xml:space="preserve">Alcalde-Alvites, M. Á. (2015). Genómica: Definiciones, tecnologías y avances en el Perú. </w:t>
      </w:r>
      <w:r w:rsidRPr="00D90BD1">
        <w:rPr>
          <w:rFonts w:ascii="Times New Roman" w:hAnsi="Times New Roman" w:cs="Times New Roman"/>
          <w:i/>
          <w:iCs/>
          <w:noProof/>
          <w:color w:val="4472C4" w:themeColor="accent5"/>
          <w:sz w:val="24"/>
          <w:szCs w:val="24"/>
        </w:rPr>
        <w:t>Revista Rebiol</w:t>
      </w:r>
      <w:r w:rsidRPr="00D90BD1">
        <w:rPr>
          <w:rFonts w:ascii="Times New Roman" w:hAnsi="Times New Roman" w:cs="Times New Roman"/>
          <w:noProof/>
          <w:color w:val="4472C4" w:themeColor="accent5"/>
          <w:sz w:val="24"/>
          <w:szCs w:val="24"/>
        </w:rPr>
        <w:t xml:space="preserve">, </w:t>
      </w:r>
      <w:r w:rsidRPr="00D90BD1">
        <w:rPr>
          <w:rFonts w:ascii="Times New Roman" w:hAnsi="Times New Roman" w:cs="Times New Roman"/>
          <w:i/>
          <w:iCs/>
          <w:noProof/>
          <w:color w:val="4472C4" w:themeColor="accent5"/>
          <w:sz w:val="24"/>
          <w:szCs w:val="24"/>
        </w:rPr>
        <w:t>35</w:t>
      </w:r>
      <w:r w:rsidRPr="00D90BD1">
        <w:rPr>
          <w:rFonts w:ascii="Times New Roman" w:hAnsi="Times New Roman" w:cs="Times New Roman"/>
          <w:noProof/>
          <w:color w:val="4472C4" w:themeColor="accent5"/>
          <w:sz w:val="24"/>
          <w:szCs w:val="24"/>
        </w:rPr>
        <w:t>(2), 117-128.</w:t>
      </w:r>
    </w:p>
    <w:p w14:paraId="3013A9CA"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noProof/>
          <w:color w:val="4472C4" w:themeColor="accent5"/>
          <w:sz w:val="24"/>
          <w:szCs w:val="24"/>
        </w:rPr>
        <w:t xml:space="preserve">Beilby, J. (2006). Diagnostic molecular biology. </w:t>
      </w:r>
      <w:r w:rsidRPr="00D90BD1">
        <w:rPr>
          <w:rFonts w:ascii="Times New Roman" w:hAnsi="Times New Roman" w:cs="Times New Roman"/>
          <w:i/>
          <w:iCs/>
          <w:noProof/>
          <w:color w:val="4472C4" w:themeColor="accent5"/>
          <w:sz w:val="24"/>
          <w:szCs w:val="24"/>
        </w:rPr>
        <w:t>Clin Biochem Rev</w:t>
      </w:r>
      <w:r w:rsidRPr="00D90BD1">
        <w:rPr>
          <w:rFonts w:ascii="Times New Roman" w:hAnsi="Times New Roman" w:cs="Times New Roman"/>
          <w:noProof/>
          <w:color w:val="4472C4" w:themeColor="accent5"/>
          <w:sz w:val="24"/>
          <w:szCs w:val="24"/>
        </w:rPr>
        <w:t xml:space="preserve">, </w:t>
      </w:r>
      <w:r w:rsidRPr="00D90BD1">
        <w:rPr>
          <w:rFonts w:ascii="Times New Roman" w:hAnsi="Times New Roman" w:cs="Times New Roman"/>
          <w:i/>
          <w:iCs/>
          <w:noProof/>
          <w:color w:val="4472C4" w:themeColor="accent5"/>
          <w:sz w:val="24"/>
          <w:szCs w:val="24"/>
        </w:rPr>
        <w:t>27</w:t>
      </w:r>
      <w:r w:rsidRPr="00D90BD1">
        <w:rPr>
          <w:rFonts w:ascii="Times New Roman" w:hAnsi="Times New Roman" w:cs="Times New Roman"/>
          <w:noProof/>
          <w:color w:val="4472C4" w:themeColor="accent5"/>
          <w:sz w:val="24"/>
          <w:szCs w:val="24"/>
        </w:rPr>
        <w:t>(February), 3-4.</w:t>
      </w:r>
    </w:p>
    <w:p w14:paraId="7D657A54"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noProof/>
          <w:color w:val="4472C4" w:themeColor="accent5"/>
          <w:sz w:val="24"/>
          <w:szCs w:val="24"/>
        </w:rPr>
        <w:t xml:space="preserve">Lai, C.-M. (2003). Basic Molecular Biology Techniques. En P. Rakoczy (Ed.), </w:t>
      </w:r>
      <w:r w:rsidRPr="00D90BD1">
        <w:rPr>
          <w:rFonts w:ascii="Times New Roman" w:hAnsi="Times New Roman" w:cs="Times New Roman"/>
          <w:i/>
          <w:iCs/>
          <w:noProof/>
          <w:color w:val="4472C4" w:themeColor="accent5"/>
          <w:sz w:val="24"/>
          <w:szCs w:val="24"/>
        </w:rPr>
        <w:t>Methods in Molecular Medicine</w:t>
      </w:r>
      <w:r w:rsidRPr="00D90BD1">
        <w:rPr>
          <w:rFonts w:ascii="Times New Roman" w:hAnsi="Times New Roman" w:cs="Times New Roman"/>
          <w:noProof/>
          <w:color w:val="4472C4" w:themeColor="accent5"/>
          <w:sz w:val="24"/>
          <w:szCs w:val="24"/>
        </w:rPr>
        <w:t xml:space="preserve"> (Vol. 47, pp. 1-30). https://doi.org/10.1385/1-59259-085-3:1</w:t>
      </w:r>
    </w:p>
    <w:p w14:paraId="3912E173"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noProof/>
          <w:color w:val="4472C4" w:themeColor="accent5"/>
          <w:sz w:val="24"/>
          <w:szCs w:val="24"/>
        </w:rPr>
        <w:t xml:space="preserve">Lodish, H., Berk, A., Kaiser, C. A., Krieger, M., Bretscher, A., Ploegh, H., Amon, A., &amp; Martin, K. C. (2012). </w:t>
      </w:r>
      <w:r w:rsidRPr="00D90BD1">
        <w:rPr>
          <w:rFonts w:ascii="Times New Roman" w:hAnsi="Times New Roman" w:cs="Times New Roman"/>
          <w:i/>
          <w:iCs/>
          <w:noProof/>
          <w:color w:val="4472C4" w:themeColor="accent5"/>
          <w:sz w:val="24"/>
          <w:szCs w:val="24"/>
        </w:rPr>
        <w:t>Molecular Cell Biology</w:t>
      </w:r>
      <w:r w:rsidRPr="00D90BD1">
        <w:rPr>
          <w:rFonts w:ascii="Times New Roman" w:hAnsi="Times New Roman" w:cs="Times New Roman"/>
          <w:noProof/>
          <w:color w:val="4472C4" w:themeColor="accent5"/>
          <w:sz w:val="24"/>
          <w:szCs w:val="24"/>
        </w:rPr>
        <w:t xml:space="preserve"> (W. H. F. and Company (ed.); Eight edit, Vol. 66). Parker, Katherine Ahr.</w:t>
      </w:r>
    </w:p>
    <w:p w14:paraId="245FD936"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noProof/>
          <w:color w:val="4472C4" w:themeColor="accent5"/>
          <w:sz w:val="24"/>
          <w:szCs w:val="24"/>
        </w:rPr>
        <w:t xml:space="preserve">Nieto-Gutierrez, W., Fernández-Chinguel, J. E., Taype-Rondan, A., Pacheco-Mendoza, J., &amp; Mayta-Tristán, P. (2018). Incentivos por publicación científica en universidades peruanas que cuentan con escuelas de medicina, 2017. </w:t>
      </w:r>
      <w:r w:rsidRPr="00D90BD1">
        <w:rPr>
          <w:rFonts w:ascii="Times New Roman" w:hAnsi="Times New Roman" w:cs="Times New Roman"/>
          <w:i/>
          <w:iCs/>
          <w:noProof/>
          <w:color w:val="4472C4" w:themeColor="accent5"/>
          <w:sz w:val="24"/>
          <w:szCs w:val="24"/>
        </w:rPr>
        <w:t>Revista Peruana de Medicina Experimental y Salud Pública</w:t>
      </w:r>
      <w:r w:rsidRPr="00D90BD1">
        <w:rPr>
          <w:rFonts w:ascii="Times New Roman" w:hAnsi="Times New Roman" w:cs="Times New Roman"/>
          <w:noProof/>
          <w:color w:val="4472C4" w:themeColor="accent5"/>
          <w:sz w:val="24"/>
          <w:szCs w:val="24"/>
        </w:rPr>
        <w:t xml:space="preserve">, </w:t>
      </w:r>
      <w:r w:rsidRPr="00D90BD1">
        <w:rPr>
          <w:rFonts w:ascii="Times New Roman" w:hAnsi="Times New Roman" w:cs="Times New Roman"/>
          <w:i/>
          <w:iCs/>
          <w:noProof/>
          <w:color w:val="4472C4" w:themeColor="accent5"/>
          <w:sz w:val="24"/>
          <w:szCs w:val="24"/>
        </w:rPr>
        <w:t>35</w:t>
      </w:r>
      <w:r w:rsidRPr="00D90BD1">
        <w:rPr>
          <w:rFonts w:ascii="Times New Roman" w:hAnsi="Times New Roman" w:cs="Times New Roman"/>
          <w:noProof/>
          <w:color w:val="4472C4" w:themeColor="accent5"/>
          <w:sz w:val="24"/>
          <w:szCs w:val="24"/>
        </w:rPr>
        <w:t>(2), 354-356. https://doi.org/10.17843/rpmesp.2018.352.3327</w:t>
      </w:r>
    </w:p>
    <w:p w14:paraId="0C1CBDB1"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noProof/>
          <w:color w:val="4472C4" w:themeColor="accent5"/>
          <w:sz w:val="24"/>
          <w:szCs w:val="24"/>
        </w:rPr>
        <w:t xml:space="preserve">Romaní, F., &amp; Cabezas, C. (2018). Indicadores bibliométricos de las publicaciones científicas de la Revista Peruana de Medicina Experimental y Salud Pública, 2010-2017. </w:t>
      </w:r>
      <w:r w:rsidRPr="00D90BD1">
        <w:rPr>
          <w:rFonts w:ascii="Times New Roman" w:hAnsi="Times New Roman" w:cs="Times New Roman"/>
          <w:i/>
          <w:iCs/>
          <w:noProof/>
          <w:color w:val="4472C4" w:themeColor="accent5"/>
          <w:sz w:val="24"/>
          <w:szCs w:val="24"/>
        </w:rPr>
        <w:t>Revista Peruana de Medicina Experimental y Salud Pública</w:t>
      </w:r>
      <w:r w:rsidRPr="00D90BD1">
        <w:rPr>
          <w:rFonts w:ascii="Times New Roman" w:hAnsi="Times New Roman" w:cs="Times New Roman"/>
          <w:noProof/>
          <w:color w:val="4472C4" w:themeColor="accent5"/>
          <w:sz w:val="24"/>
          <w:szCs w:val="24"/>
        </w:rPr>
        <w:t xml:space="preserve">, </w:t>
      </w:r>
      <w:r w:rsidRPr="00D90BD1">
        <w:rPr>
          <w:rFonts w:ascii="Times New Roman" w:hAnsi="Times New Roman" w:cs="Times New Roman"/>
          <w:i/>
          <w:iCs/>
          <w:noProof/>
          <w:color w:val="4472C4" w:themeColor="accent5"/>
          <w:sz w:val="24"/>
          <w:szCs w:val="24"/>
        </w:rPr>
        <w:t>35</w:t>
      </w:r>
      <w:r w:rsidRPr="00D90BD1">
        <w:rPr>
          <w:rFonts w:ascii="Times New Roman" w:hAnsi="Times New Roman" w:cs="Times New Roman"/>
          <w:noProof/>
          <w:color w:val="4472C4" w:themeColor="accent5"/>
          <w:sz w:val="24"/>
          <w:szCs w:val="24"/>
        </w:rPr>
        <w:t>(4), 620. https://doi.org/10.17843/rpmesp.2018.354.3817</w:t>
      </w:r>
    </w:p>
    <w:p w14:paraId="45A5F74F"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szCs w:val="24"/>
        </w:rPr>
      </w:pPr>
      <w:r w:rsidRPr="00D90BD1">
        <w:rPr>
          <w:rFonts w:ascii="Times New Roman" w:hAnsi="Times New Roman" w:cs="Times New Roman"/>
          <w:noProof/>
          <w:color w:val="4472C4" w:themeColor="accent5"/>
          <w:sz w:val="24"/>
          <w:szCs w:val="24"/>
        </w:rPr>
        <w:t xml:space="preserve">Romani Romani, F. R., Roque Henríquez, J., Vásquez Loarte, T., Mormontoy Calvo, H., &amp; Vásquez Soplopuco, H. (2016). Análisis bibliométrico de la producción científica sobre las agendas nacionales de investigación en el Perú 2011-2014. </w:t>
      </w:r>
      <w:r w:rsidRPr="00D90BD1">
        <w:rPr>
          <w:rFonts w:ascii="Times New Roman" w:hAnsi="Times New Roman" w:cs="Times New Roman"/>
          <w:i/>
          <w:iCs/>
          <w:noProof/>
          <w:color w:val="4472C4" w:themeColor="accent5"/>
          <w:sz w:val="24"/>
          <w:szCs w:val="24"/>
        </w:rPr>
        <w:t>Anales de la Facultad de Medicina</w:t>
      </w:r>
      <w:r w:rsidRPr="00D90BD1">
        <w:rPr>
          <w:rFonts w:ascii="Times New Roman" w:hAnsi="Times New Roman" w:cs="Times New Roman"/>
          <w:noProof/>
          <w:color w:val="4472C4" w:themeColor="accent5"/>
          <w:sz w:val="24"/>
          <w:szCs w:val="24"/>
        </w:rPr>
        <w:t xml:space="preserve">, </w:t>
      </w:r>
      <w:r w:rsidRPr="00D90BD1">
        <w:rPr>
          <w:rFonts w:ascii="Times New Roman" w:hAnsi="Times New Roman" w:cs="Times New Roman"/>
          <w:i/>
          <w:iCs/>
          <w:noProof/>
          <w:color w:val="4472C4" w:themeColor="accent5"/>
          <w:sz w:val="24"/>
          <w:szCs w:val="24"/>
        </w:rPr>
        <w:t>77</w:t>
      </w:r>
      <w:r w:rsidRPr="00D90BD1">
        <w:rPr>
          <w:rFonts w:ascii="Times New Roman" w:hAnsi="Times New Roman" w:cs="Times New Roman"/>
          <w:noProof/>
          <w:color w:val="4472C4" w:themeColor="accent5"/>
          <w:sz w:val="24"/>
          <w:szCs w:val="24"/>
        </w:rPr>
        <w:t>(3), 241. https://doi.org/10.15381/anales.v77i3.12410</w:t>
      </w:r>
    </w:p>
    <w:p w14:paraId="0B0D5A88" w14:textId="77777777" w:rsidR="00D90BD1" w:rsidRPr="00D90BD1" w:rsidRDefault="00D90BD1" w:rsidP="00D90BD1">
      <w:pPr>
        <w:widowControl w:val="0"/>
        <w:autoSpaceDE w:val="0"/>
        <w:autoSpaceDN w:val="0"/>
        <w:adjustRightInd w:val="0"/>
        <w:spacing w:after="0" w:line="360" w:lineRule="auto"/>
        <w:ind w:left="480" w:hanging="480"/>
        <w:rPr>
          <w:rFonts w:ascii="Times New Roman" w:hAnsi="Times New Roman" w:cs="Times New Roman"/>
          <w:noProof/>
          <w:color w:val="4472C4" w:themeColor="accent5"/>
          <w:sz w:val="24"/>
        </w:rPr>
      </w:pPr>
      <w:r w:rsidRPr="00D90BD1">
        <w:rPr>
          <w:rFonts w:ascii="Times New Roman" w:hAnsi="Times New Roman" w:cs="Times New Roman"/>
          <w:noProof/>
          <w:color w:val="4472C4" w:themeColor="accent5"/>
          <w:sz w:val="24"/>
          <w:szCs w:val="24"/>
        </w:rPr>
        <w:t xml:space="preserve">Santillán-Aldana, J., Arakaki, M., de la Vega, A., Calderón-Carranza, M., &amp; Pacheco-Mendoza, J. (2017). General characteristics of Peruvian scientific journals. </w:t>
      </w:r>
      <w:r w:rsidRPr="00D90BD1">
        <w:rPr>
          <w:rFonts w:ascii="Times New Roman" w:hAnsi="Times New Roman" w:cs="Times New Roman"/>
          <w:i/>
          <w:iCs/>
          <w:noProof/>
          <w:color w:val="4472C4" w:themeColor="accent5"/>
          <w:sz w:val="24"/>
          <w:szCs w:val="24"/>
        </w:rPr>
        <w:t>Revista Española de Documentación Científica</w:t>
      </w:r>
      <w:r w:rsidRPr="00D90BD1">
        <w:rPr>
          <w:rFonts w:ascii="Times New Roman" w:hAnsi="Times New Roman" w:cs="Times New Roman"/>
          <w:noProof/>
          <w:color w:val="4472C4" w:themeColor="accent5"/>
          <w:sz w:val="24"/>
          <w:szCs w:val="24"/>
        </w:rPr>
        <w:t xml:space="preserve">, </w:t>
      </w:r>
      <w:r w:rsidRPr="00D90BD1">
        <w:rPr>
          <w:rFonts w:ascii="Times New Roman" w:hAnsi="Times New Roman" w:cs="Times New Roman"/>
          <w:i/>
          <w:iCs/>
          <w:noProof/>
          <w:color w:val="4472C4" w:themeColor="accent5"/>
          <w:sz w:val="24"/>
          <w:szCs w:val="24"/>
        </w:rPr>
        <w:t>40</w:t>
      </w:r>
      <w:r w:rsidRPr="00D90BD1">
        <w:rPr>
          <w:rFonts w:ascii="Times New Roman" w:hAnsi="Times New Roman" w:cs="Times New Roman"/>
          <w:noProof/>
          <w:color w:val="4472C4" w:themeColor="accent5"/>
          <w:sz w:val="24"/>
          <w:szCs w:val="24"/>
        </w:rPr>
        <w:t>(3), e182-e182. https://doi.org/10.3989/redc.2017.3.1419</w:t>
      </w:r>
    </w:p>
    <w:p w14:paraId="1A56DC2A" w14:textId="77777777" w:rsidR="00D90BD1" w:rsidRPr="00507709" w:rsidRDefault="00D90BD1" w:rsidP="00D90BD1">
      <w:pPr>
        <w:spacing w:after="0" w:line="360" w:lineRule="auto"/>
        <w:jc w:val="both"/>
        <w:rPr>
          <w:rFonts w:ascii="Times New Roman" w:hAnsi="Times New Roman" w:cs="Times New Roman"/>
          <w:bCs/>
          <w:color w:val="000000" w:themeColor="text1"/>
          <w:sz w:val="24"/>
          <w:szCs w:val="24"/>
        </w:rPr>
      </w:pPr>
      <w:r w:rsidRPr="00D90BD1">
        <w:rPr>
          <w:rFonts w:ascii="Times New Roman" w:hAnsi="Times New Roman" w:cs="Times New Roman"/>
          <w:bCs/>
          <w:color w:val="4472C4" w:themeColor="accent5"/>
          <w:sz w:val="24"/>
          <w:szCs w:val="24"/>
        </w:rPr>
        <w:fldChar w:fldCharType="end"/>
      </w:r>
    </w:p>
    <w:sectPr w:rsidR="00D90BD1" w:rsidRPr="00507709" w:rsidSect="00E97357">
      <w:headerReference w:type="even" r:id="rId7"/>
      <w:headerReference w:type="default" r:id="rId8"/>
      <w:footerReference w:type="default" r:id="rId9"/>
      <w:headerReference w:type="first" r:id="rId10"/>
      <w:pgSz w:w="11907" w:h="16839" w:code="9"/>
      <w:pgMar w:top="1985" w:right="1701" w:bottom="1417" w:left="170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D0F4" w14:textId="77777777" w:rsidR="00F4159F" w:rsidRDefault="00F4159F" w:rsidP="005B20BA">
      <w:pPr>
        <w:spacing w:after="0" w:line="240" w:lineRule="auto"/>
      </w:pPr>
      <w:r>
        <w:separator/>
      </w:r>
    </w:p>
  </w:endnote>
  <w:endnote w:type="continuationSeparator" w:id="0">
    <w:p w14:paraId="7A8C9608" w14:textId="77777777" w:rsidR="00F4159F" w:rsidRDefault="00F4159F" w:rsidP="005B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41B" w14:textId="300DD78B" w:rsidR="00D10E81" w:rsidRDefault="00652AE5">
    <w:pPr>
      <w:pStyle w:val="Piedepgina"/>
    </w:pPr>
    <w:r>
      <w:rPr>
        <w:noProof/>
      </w:rPr>
      <w:drawing>
        <wp:anchor distT="0" distB="0" distL="114300" distR="114300" simplePos="0" relativeHeight="251664384" behindDoc="0" locked="0" layoutInCell="1" allowOverlap="1" wp14:anchorId="1E12C4D8" wp14:editId="1B3F631F">
          <wp:simplePos x="0" y="0"/>
          <wp:positionH relativeFrom="column">
            <wp:posOffset>-445674</wp:posOffset>
          </wp:positionH>
          <wp:positionV relativeFrom="paragraph">
            <wp:posOffset>-461042</wp:posOffset>
          </wp:positionV>
          <wp:extent cx="6143137" cy="62262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137" cy="62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1D82" w14:textId="77777777" w:rsidR="00F4159F" w:rsidRDefault="00F4159F" w:rsidP="005B20BA">
      <w:pPr>
        <w:spacing w:after="0" w:line="240" w:lineRule="auto"/>
      </w:pPr>
      <w:r>
        <w:separator/>
      </w:r>
    </w:p>
  </w:footnote>
  <w:footnote w:type="continuationSeparator" w:id="0">
    <w:p w14:paraId="1A2C4831" w14:textId="77777777" w:rsidR="00F4159F" w:rsidRDefault="00F4159F" w:rsidP="005B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25C3" w14:textId="3473856F" w:rsidR="006074A2" w:rsidRDefault="00F4159F">
    <w:pPr>
      <w:pStyle w:val="Encabezado"/>
    </w:pPr>
    <w:r>
      <w:rPr>
        <w:noProof/>
      </w:rPr>
      <w:pict w14:anchorId="4ED2B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2297" o:spid="_x0000_s1034" type="#_x0000_t75" style="position:absolute;margin-left:0;margin-top:0;width:596pt;height:843pt;z-index:-251657216;mso-position-horizontal:center;mso-position-horizontal-relative:margin;mso-position-vertical:center;mso-position-vertical-relative:margin" o:allowincell="f">
          <v:imagedata r:id="rId1" o:title="Mesa de trabajo 8-1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1298" w14:textId="7C0F1F52" w:rsidR="00E97357" w:rsidRDefault="00D10E81">
    <w:pPr>
      <w:pStyle w:val="Encabezado"/>
    </w:pPr>
    <w:r>
      <w:rPr>
        <w:noProof/>
      </w:rPr>
      <w:drawing>
        <wp:anchor distT="0" distB="0" distL="114300" distR="114300" simplePos="0" relativeHeight="251662336" behindDoc="1" locked="0" layoutInCell="1" allowOverlap="1" wp14:anchorId="0BFB1170" wp14:editId="4D8849E6">
          <wp:simplePos x="0" y="0"/>
          <wp:positionH relativeFrom="column">
            <wp:posOffset>-1072451</wp:posOffset>
          </wp:positionH>
          <wp:positionV relativeFrom="paragraph">
            <wp:posOffset>-434847</wp:posOffset>
          </wp:positionV>
          <wp:extent cx="6861432" cy="2182266"/>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569" cy="2197894"/>
                  </a:xfrm>
                  <a:prstGeom prst="rect">
                    <a:avLst/>
                  </a:prstGeom>
                  <a:noFill/>
                  <a:ln>
                    <a:noFill/>
                  </a:ln>
                </pic:spPr>
              </pic:pic>
            </a:graphicData>
          </a:graphic>
          <wp14:sizeRelH relativeFrom="page">
            <wp14:pctWidth>0</wp14:pctWidth>
          </wp14:sizeRelH>
          <wp14:sizeRelV relativeFrom="page">
            <wp14:pctHeight>0</wp14:pctHeight>
          </wp14:sizeRelV>
        </wp:anchor>
      </w:drawing>
    </w:r>
    <w:r w:rsidR="00A04A86">
      <w:rPr>
        <w:noProof/>
      </w:rPr>
      <w:drawing>
        <wp:anchor distT="0" distB="0" distL="114300" distR="114300" simplePos="0" relativeHeight="251661312" behindDoc="1" locked="0" layoutInCell="1" allowOverlap="1" wp14:anchorId="492A11F8" wp14:editId="12A4EC10">
          <wp:simplePos x="0" y="0"/>
          <wp:positionH relativeFrom="column">
            <wp:posOffset>3194114</wp:posOffset>
          </wp:positionH>
          <wp:positionV relativeFrom="paragraph">
            <wp:posOffset>3098800</wp:posOffset>
          </wp:positionV>
          <wp:extent cx="3273425" cy="4203065"/>
          <wp:effectExtent l="0" t="0" r="3175"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3425" cy="420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E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73A9" w14:textId="78CC710B" w:rsidR="006074A2" w:rsidRDefault="00F4159F">
    <w:pPr>
      <w:pStyle w:val="Encabezado"/>
    </w:pPr>
    <w:r>
      <w:rPr>
        <w:noProof/>
      </w:rPr>
      <w:pict w14:anchorId="561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2296" o:spid="_x0000_s1033" type="#_x0000_t75" style="position:absolute;margin-left:0;margin-top:0;width:596pt;height:843pt;z-index:-251658240;mso-position-horizontal:center;mso-position-horizontal-relative:margin;mso-position-vertical:center;mso-position-vertical-relative:margin" o:allowincell="f">
          <v:imagedata r:id="rId1" o:title="Mesa de trabajo 8-1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D0"/>
    <w:multiLevelType w:val="hybridMultilevel"/>
    <w:tmpl w:val="CF7A25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93541F"/>
    <w:multiLevelType w:val="hybridMultilevel"/>
    <w:tmpl w:val="01DCCEC2"/>
    <w:lvl w:ilvl="0" w:tplc="3BBE668C">
      <w:numFmt w:val="bullet"/>
      <w:lvlText w:val="-"/>
      <w:lvlJc w:val="left"/>
      <w:pPr>
        <w:ind w:left="720" w:hanging="360"/>
      </w:pPr>
      <w:rPr>
        <w:rFonts w:ascii="Open Sans" w:eastAsiaTheme="minorHAnsi" w:hAnsi="Open Sans" w:cs="Open Sans" w:hint="default"/>
        <w:color w:val="auto"/>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E31BB1"/>
    <w:multiLevelType w:val="multilevel"/>
    <w:tmpl w:val="14020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D3118"/>
    <w:multiLevelType w:val="hybridMultilevel"/>
    <w:tmpl w:val="A238E9B0"/>
    <w:lvl w:ilvl="0" w:tplc="3BBE668C">
      <w:numFmt w:val="bullet"/>
      <w:lvlText w:val="-"/>
      <w:lvlJc w:val="left"/>
      <w:pPr>
        <w:ind w:left="720" w:hanging="360"/>
      </w:pPr>
      <w:rPr>
        <w:rFonts w:ascii="Open Sans" w:eastAsiaTheme="minorHAnsi" w:hAnsi="Open Sans" w:cs="Open Sans" w:hint="default"/>
        <w:color w:val="auto"/>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494F4F"/>
    <w:multiLevelType w:val="hybridMultilevel"/>
    <w:tmpl w:val="7F64AF02"/>
    <w:lvl w:ilvl="0" w:tplc="0B725940">
      <w:start w:val="13"/>
      <w:numFmt w:val="bullet"/>
      <w:lvlText w:val="-"/>
      <w:lvlJc w:val="left"/>
      <w:pPr>
        <w:ind w:left="720" w:hanging="360"/>
      </w:pPr>
      <w:rPr>
        <w:rFonts w:ascii="Poppins" w:eastAsiaTheme="minorHAnsi" w:hAnsi="Poppins" w:cs="Poppin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3C1919"/>
    <w:multiLevelType w:val="multilevel"/>
    <w:tmpl w:val="F4DEB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F951E8"/>
    <w:multiLevelType w:val="hybridMultilevel"/>
    <w:tmpl w:val="D47ADB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D635D3"/>
    <w:multiLevelType w:val="hybridMultilevel"/>
    <w:tmpl w:val="20DAB3F6"/>
    <w:lvl w:ilvl="0" w:tplc="8B84E5C6">
      <w:start w:val="1"/>
      <w:numFmt w:val="bullet"/>
      <w:lvlText w:val=""/>
      <w:lvlJc w:val="left"/>
      <w:pPr>
        <w:ind w:left="360" w:hanging="360"/>
      </w:pPr>
      <w:rPr>
        <w:rFonts w:ascii="Wingdings" w:hAnsi="Wingdings"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D3405D3"/>
    <w:multiLevelType w:val="hybridMultilevel"/>
    <w:tmpl w:val="5F3877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E8B0F52"/>
    <w:multiLevelType w:val="hybridMultilevel"/>
    <w:tmpl w:val="EAAC8D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1A17369"/>
    <w:multiLevelType w:val="hybridMultilevel"/>
    <w:tmpl w:val="EE500EF8"/>
    <w:lvl w:ilvl="0" w:tplc="5310E8A0">
      <w:start w:val="25"/>
      <w:numFmt w:val="decimal"/>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1" w15:restartNumberingAfterBreak="0">
    <w:nsid w:val="7CF10CB5"/>
    <w:multiLevelType w:val="hybridMultilevel"/>
    <w:tmpl w:val="833C0EEA"/>
    <w:lvl w:ilvl="0" w:tplc="48B0EDA6">
      <w:numFmt w:val="bullet"/>
      <w:lvlText w:val="-"/>
      <w:lvlJc w:val="left"/>
      <w:pPr>
        <w:ind w:left="720" w:hanging="360"/>
      </w:pPr>
      <w:rPr>
        <w:rFonts w:ascii="Poppins" w:eastAsiaTheme="minorHAnsi" w:hAnsi="Poppins" w:cs="Poppin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DFD14CC"/>
    <w:multiLevelType w:val="hybridMultilevel"/>
    <w:tmpl w:val="3990A91E"/>
    <w:lvl w:ilvl="0" w:tplc="A356952C">
      <w:start w:val="25"/>
      <w:numFmt w:val="bullet"/>
      <w:lvlText w:val="-"/>
      <w:lvlJc w:val="left"/>
      <w:pPr>
        <w:ind w:left="720" w:hanging="360"/>
      </w:pPr>
      <w:rPr>
        <w:rFonts w:ascii="Poppins" w:eastAsiaTheme="minorHAnsi" w:hAnsi="Poppins" w:cs="Poppin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4"/>
  </w:num>
  <w:num w:numId="6">
    <w:abstractNumId w:val="10"/>
  </w:num>
  <w:num w:numId="7">
    <w:abstractNumId w:val="11"/>
  </w:num>
  <w:num w:numId="8">
    <w:abstractNumId w:val="12"/>
  </w:num>
  <w:num w:numId="9">
    <w:abstractNumId w:val="8"/>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BA"/>
    <w:rsid w:val="00020D62"/>
    <w:rsid w:val="00032DA4"/>
    <w:rsid w:val="000407BC"/>
    <w:rsid w:val="00076938"/>
    <w:rsid w:val="00087179"/>
    <w:rsid w:val="000B2950"/>
    <w:rsid w:val="000C5345"/>
    <w:rsid w:val="000D0590"/>
    <w:rsid w:val="000D6936"/>
    <w:rsid w:val="000E343A"/>
    <w:rsid w:val="00105429"/>
    <w:rsid w:val="00113FEF"/>
    <w:rsid w:val="00133A6F"/>
    <w:rsid w:val="00133EED"/>
    <w:rsid w:val="001376BB"/>
    <w:rsid w:val="00166525"/>
    <w:rsid w:val="00190DB9"/>
    <w:rsid w:val="00197CA4"/>
    <w:rsid w:val="001B44D6"/>
    <w:rsid w:val="001C54E4"/>
    <w:rsid w:val="001C6336"/>
    <w:rsid w:val="001F2F70"/>
    <w:rsid w:val="002103EB"/>
    <w:rsid w:val="002224A9"/>
    <w:rsid w:val="00243FE4"/>
    <w:rsid w:val="00244F1D"/>
    <w:rsid w:val="00246E83"/>
    <w:rsid w:val="00262F3F"/>
    <w:rsid w:val="002879D6"/>
    <w:rsid w:val="002968BA"/>
    <w:rsid w:val="002D5CC1"/>
    <w:rsid w:val="002F51E4"/>
    <w:rsid w:val="00310528"/>
    <w:rsid w:val="00312076"/>
    <w:rsid w:val="00316D49"/>
    <w:rsid w:val="00335227"/>
    <w:rsid w:val="00356C3B"/>
    <w:rsid w:val="0036145B"/>
    <w:rsid w:val="00361DD6"/>
    <w:rsid w:val="0036468B"/>
    <w:rsid w:val="00375A5A"/>
    <w:rsid w:val="003906E7"/>
    <w:rsid w:val="00393EE7"/>
    <w:rsid w:val="003B2E4D"/>
    <w:rsid w:val="003E4E54"/>
    <w:rsid w:val="004145EC"/>
    <w:rsid w:val="00415556"/>
    <w:rsid w:val="004156D7"/>
    <w:rsid w:val="00415756"/>
    <w:rsid w:val="00417288"/>
    <w:rsid w:val="00422428"/>
    <w:rsid w:val="00427815"/>
    <w:rsid w:val="0045591C"/>
    <w:rsid w:val="00470812"/>
    <w:rsid w:val="004708B1"/>
    <w:rsid w:val="004839AF"/>
    <w:rsid w:val="00491219"/>
    <w:rsid w:val="004B750C"/>
    <w:rsid w:val="004C138E"/>
    <w:rsid w:val="00551FE0"/>
    <w:rsid w:val="00564457"/>
    <w:rsid w:val="0058498C"/>
    <w:rsid w:val="00587927"/>
    <w:rsid w:val="005B20BA"/>
    <w:rsid w:val="005D5AEA"/>
    <w:rsid w:val="005D7393"/>
    <w:rsid w:val="005E0AE6"/>
    <w:rsid w:val="005E68D7"/>
    <w:rsid w:val="005E7831"/>
    <w:rsid w:val="005F2C58"/>
    <w:rsid w:val="006074A2"/>
    <w:rsid w:val="00652AE5"/>
    <w:rsid w:val="006729C8"/>
    <w:rsid w:val="00676682"/>
    <w:rsid w:val="00693429"/>
    <w:rsid w:val="006953E3"/>
    <w:rsid w:val="006A5288"/>
    <w:rsid w:val="006B2D9C"/>
    <w:rsid w:val="006D0245"/>
    <w:rsid w:val="006D6B6C"/>
    <w:rsid w:val="006E46F7"/>
    <w:rsid w:val="006F1C44"/>
    <w:rsid w:val="006F4392"/>
    <w:rsid w:val="0071129E"/>
    <w:rsid w:val="00712744"/>
    <w:rsid w:val="00722605"/>
    <w:rsid w:val="0072582B"/>
    <w:rsid w:val="00754A5C"/>
    <w:rsid w:val="00771D82"/>
    <w:rsid w:val="007734AB"/>
    <w:rsid w:val="007800A4"/>
    <w:rsid w:val="0078165F"/>
    <w:rsid w:val="007B4BCB"/>
    <w:rsid w:val="007B50C4"/>
    <w:rsid w:val="007C3AB1"/>
    <w:rsid w:val="007C5022"/>
    <w:rsid w:val="00806AC8"/>
    <w:rsid w:val="00852EE5"/>
    <w:rsid w:val="008559E9"/>
    <w:rsid w:val="00870ADC"/>
    <w:rsid w:val="00877A8A"/>
    <w:rsid w:val="008B02B0"/>
    <w:rsid w:val="008B1B9A"/>
    <w:rsid w:val="008B7027"/>
    <w:rsid w:val="008C6166"/>
    <w:rsid w:val="008D29A4"/>
    <w:rsid w:val="008F4DB2"/>
    <w:rsid w:val="0090661A"/>
    <w:rsid w:val="00920B71"/>
    <w:rsid w:val="00923D79"/>
    <w:rsid w:val="00952D4E"/>
    <w:rsid w:val="009576C5"/>
    <w:rsid w:val="00961DE8"/>
    <w:rsid w:val="00977615"/>
    <w:rsid w:val="00984923"/>
    <w:rsid w:val="0099347E"/>
    <w:rsid w:val="00995DFC"/>
    <w:rsid w:val="009C0979"/>
    <w:rsid w:val="00A04A86"/>
    <w:rsid w:val="00A4109D"/>
    <w:rsid w:val="00A5222A"/>
    <w:rsid w:val="00A656DA"/>
    <w:rsid w:val="00A65F96"/>
    <w:rsid w:val="00A95ECB"/>
    <w:rsid w:val="00AC1603"/>
    <w:rsid w:val="00AD3ADC"/>
    <w:rsid w:val="00AE14B2"/>
    <w:rsid w:val="00AF2DDB"/>
    <w:rsid w:val="00B0291E"/>
    <w:rsid w:val="00B04BBC"/>
    <w:rsid w:val="00B104D5"/>
    <w:rsid w:val="00B369CE"/>
    <w:rsid w:val="00B411EB"/>
    <w:rsid w:val="00B47FF4"/>
    <w:rsid w:val="00B76719"/>
    <w:rsid w:val="00B9244D"/>
    <w:rsid w:val="00B959F3"/>
    <w:rsid w:val="00B974F5"/>
    <w:rsid w:val="00BA3EB3"/>
    <w:rsid w:val="00BA5D40"/>
    <w:rsid w:val="00BB25C8"/>
    <w:rsid w:val="00BB36D4"/>
    <w:rsid w:val="00BF0423"/>
    <w:rsid w:val="00C01CFA"/>
    <w:rsid w:val="00C1391A"/>
    <w:rsid w:val="00C17A36"/>
    <w:rsid w:val="00C34EA3"/>
    <w:rsid w:val="00C42E6F"/>
    <w:rsid w:val="00C4682D"/>
    <w:rsid w:val="00C56CEE"/>
    <w:rsid w:val="00C65BA2"/>
    <w:rsid w:val="00C73A8E"/>
    <w:rsid w:val="00CA0A6D"/>
    <w:rsid w:val="00CA1A15"/>
    <w:rsid w:val="00CA6B2D"/>
    <w:rsid w:val="00CB1B14"/>
    <w:rsid w:val="00CC0AAB"/>
    <w:rsid w:val="00CC45AF"/>
    <w:rsid w:val="00CC66CD"/>
    <w:rsid w:val="00CC69B0"/>
    <w:rsid w:val="00CD13FA"/>
    <w:rsid w:val="00CF0949"/>
    <w:rsid w:val="00CF70BE"/>
    <w:rsid w:val="00D10E81"/>
    <w:rsid w:val="00D26527"/>
    <w:rsid w:val="00D43096"/>
    <w:rsid w:val="00D54451"/>
    <w:rsid w:val="00D80168"/>
    <w:rsid w:val="00D80645"/>
    <w:rsid w:val="00D90BD1"/>
    <w:rsid w:val="00DA2219"/>
    <w:rsid w:val="00DB08B9"/>
    <w:rsid w:val="00DB0EFF"/>
    <w:rsid w:val="00DB24CC"/>
    <w:rsid w:val="00DC5606"/>
    <w:rsid w:val="00DD037C"/>
    <w:rsid w:val="00DD699A"/>
    <w:rsid w:val="00E159E0"/>
    <w:rsid w:val="00E33352"/>
    <w:rsid w:val="00E723AD"/>
    <w:rsid w:val="00E7615A"/>
    <w:rsid w:val="00E767AC"/>
    <w:rsid w:val="00E80038"/>
    <w:rsid w:val="00E97357"/>
    <w:rsid w:val="00EB07FF"/>
    <w:rsid w:val="00EC3FBB"/>
    <w:rsid w:val="00EF55FD"/>
    <w:rsid w:val="00F4159F"/>
    <w:rsid w:val="00F43A54"/>
    <w:rsid w:val="00F5249A"/>
    <w:rsid w:val="00F53E13"/>
    <w:rsid w:val="00F5491A"/>
    <w:rsid w:val="00F55B47"/>
    <w:rsid w:val="00F56149"/>
    <w:rsid w:val="00F74FBC"/>
    <w:rsid w:val="00F76BD2"/>
    <w:rsid w:val="00F84429"/>
    <w:rsid w:val="00F92278"/>
    <w:rsid w:val="00FA0A98"/>
    <w:rsid w:val="00FB2441"/>
    <w:rsid w:val="00FD6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5721"/>
  <w15:docId w15:val="{A3031F5C-544B-4C06-B033-EBD65981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06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0BA"/>
  </w:style>
  <w:style w:type="paragraph" w:styleId="Piedepgina">
    <w:name w:val="footer"/>
    <w:basedOn w:val="Normal"/>
    <w:link w:val="PiedepginaCar"/>
    <w:uiPriority w:val="99"/>
    <w:unhideWhenUsed/>
    <w:rsid w:val="005B2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0BA"/>
  </w:style>
  <w:style w:type="paragraph" w:styleId="Prrafodelista">
    <w:name w:val="List Paragraph"/>
    <w:basedOn w:val="Normal"/>
    <w:uiPriority w:val="34"/>
    <w:qFormat/>
    <w:rsid w:val="00C73A8E"/>
    <w:pPr>
      <w:ind w:left="720"/>
      <w:contextualSpacing/>
    </w:pPr>
  </w:style>
  <w:style w:type="character" w:customStyle="1" w:styleId="Ttulo2Car">
    <w:name w:val="Título 2 Car"/>
    <w:basedOn w:val="Fuentedeprrafopredeter"/>
    <w:link w:val="Ttulo2"/>
    <w:uiPriority w:val="9"/>
    <w:rsid w:val="0090661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0661A"/>
    <w:rPr>
      <w:color w:val="0563C1" w:themeColor="hyperlink"/>
      <w:u w:val="single"/>
    </w:rPr>
  </w:style>
  <w:style w:type="character" w:customStyle="1" w:styleId="Mencinsinresolver1">
    <w:name w:val="Mención sin resolver1"/>
    <w:basedOn w:val="Fuentedeprrafopredeter"/>
    <w:uiPriority w:val="99"/>
    <w:semiHidden/>
    <w:unhideWhenUsed/>
    <w:rsid w:val="0090661A"/>
    <w:rPr>
      <w:color w:val="605E5C"/>
      <w:shd w:val="clear" w:color="auto" w:fill="E1DFDD"/>
    </w:rPr>
  </w:style>
  <w:style w:type="character" w:styleId="Mencinsinresolver">
    <w:name w:val="Unresolved Mention"/>
    <w:basedOn w:val="Fuentedeprrafopredeter"/>
    <w:uiPriority w:val="99"/>
    <w:semiHidden/>
    <w:unhideWhenUsed/>
    <w:rsid w:val="00020D62"/>
    <w:rPr>
      <w:color w:val="605E5C"/>
      <w:shd w:val="clear" w:color="auto" w:fill="E1DFDD"/>
    </w:rPr>
  </w:style>
  <w:style w:type="character" w:styleId="Hipervnculovisitado">
    <w:name w:val="FollowedHyperlink"/>
    <w:basedOn w:val="Fuentedeprrafopredeter"/>
    <w:uiPriority w:val="99"/>
    <w:semiHidden/>
    <w:unhideWhenUsed/>
    <w:rsid w:val="000D0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8813">
      <w:bodyDiv w:val="1"/>
      <w:marLeft w:val="0"/>
      <w:marRight w:val="0"/>
      <w:marTop w:val="0"/>
      <w:marBottom w:val="0"/>
      <w:divBdr>
        <w:top w:val="none" w:sz="0" w:space="0" w:color="auto"/>
        <w:left w:val="none" w:sz="0" w:space="0" w:color="auto"/>
        <w:bottom w:val="none" w:sz="0" w:space="0" w:color="auto"/>
        <w:right w:val="none" w:sz="0" w:space="0" w:color="auto"/>
      </w:divBdr>
    </w:div>
    <w:div w:id="19358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3361</Words>
  <Characters>18489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D. Emerson Afiler Horna</cp:lastModifiedBy>
  <cp:revision>6</cp:revision>
  <cp:lastPrinted>2021-11-11T15:08:00Z</cp:lastPrinted>
  <dcterms:created xsi:type="dcterms:W3CDTF">2021-11-30T22:56:00Z</dcterms:created>
  <dcterms:modified xsi:type="dcterms:W3CDTF">2021-12-09T00:31:00Z</dcterms:modified>
</cp:coreProperties>
</file>