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A816" w14:textId="5EB7E475" w:rsidR="00E26490" w:rsidRPr="00E26490" w:rsidRDefault="00E26490" w:rsidP="00306FC4">
      <w:pPr>
        <w:spacing w:after="0" w:line="360" w:lineRule="auto"/>
        <w:jc w:val="center"/>
        <w:rPr>
          <w:rFonts w:cstheme="minorHAnsi"/>
          <w:b/>
          <w:iCs/>
          <w:color w:val="C00000"/>
          <w:sz w:val="20"/>
          <w:szCs w:val="20"/>
        </w:rPr>
      </w:pPr>
      <w:r w:rsidRPr="00E26490">
        <w:rPr>
          <w:rFonts w:cstheme="minorHAnsi"/>
          <w:b/>
          <w:iCs/>
          <w:color w:val="C00000"/>
          <w:sz w:val="20"/>
          <w:szCs w:val="20"/>
        </w:rPr>
        <w:t>POLISACÁRIDOS SULFATADOS EXTRAÍDOS DE ALGAS VERDES DEL LITORAL PERUANO</w:t>
      </w:r>
    </w:p>
    <w:p w14:paraId="7E714B59" w14:textId="77777777" w:rsidR="00E26490" w:rsidRPr="00306FC4" w:rsidRDefault="00E26490" w:rsidP="00E26490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Fernando G. Torres*, Omar P. Troncoso </w:t>
      </w:r>
    </w:p>
    <w:p w14:paraId="5B64A318" w14:textId="77777777" w:rsidR="00E26490" w:rsidRPr="00306FC4" w:rsidRDefault="00E26490" w:rsidP="00E26490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Departamento de Ingeniería Mecánica, Pontificia Universidad Católica del Perú. Av.</w:t>
      </w:r>
    </w:p>
    <w:p w14:paraId="3ED1C309" w14:textId="77777777" w:rsidR="00E26490" w:rsidRPr="00306FC4" w:rsidRDefault="00E26490" w:rsidP="00E26490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Universitaria 1801, 15088, Lima, Perú </w:t>
      </w:r>
    </w:p>
    <w:p w14:paraId="1033F8A7" w14:textId="77777777" w:rsidR="00E26490" w:rsidRPr="00306FC4" w:rsidRDefault="00E26490" w:rsidP="00E26490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*Autor correspondiente: fgtorres@pucp.pe  </w:t>
      </w:r>
    </w:p>
    <w:p w14:paraId="34D6E3FA" w14:textId="77777777" w:rsidR="00E26490" w:rsidRPr="00E26490" w:rsidRDefault="00E26490" w:rsidP="00306FC4">
      <w:pPr>
        <w:spacing w:after="0" w:line="360" w:lineRule="auto"/>
        <w:jc w:val="center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306FC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Eje temático: Otras tecnologías e ingenierías</w:t>
      </w:r>
    </w:p>
    <w:p w14:paraId="3F77E6F4" w14:textId="77777777" w:rsidR="00306FC4" w:rsidRPr="00FE162D" w:rsidRDefault="00306FC4" w:rsidP="00306FC4">
      <w:pPr>
        <w:spacing w:after="0" w:line="360" w:lineRule="auto"/>
        <w:jc w:val="center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RESUMEN</w:t>
      </w:r>
    </w:p>
    <w:p w14:paraId="6A28417F" w14:textId="44D4CC54" w:rsidR="00E26490" w:rsidRPr="00E26490" w:rsidRDefault="00E26490" w:rsidP="00E26490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El Perú, es un país megadiverso que cuenta con una amplia variedad de especies que pueden ser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estudiadas con el fin de aprovecharlas tecnológicamente. Algunas especies se comercian tras ser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cultivadas, o pueden ser procesadas para obtener un producto de valor agregado. En el caso de las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algas, las más utilizadas comercialmente son las rojas y pardas del género </w:t>
      </w:r>
      <w:proofErr w:type="spellStart"/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Chondracanthus</w:t>
      </w:r>
      <w:proofErr w:type="spellEnd"/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y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Macrocystis</w:t>
      </w:r>
      <w:proofErr w:type="spellEnd"/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, que producen los polisacáridos comúnmente conocidos como </w:t>
      </w:r>
      <w:proofErr w:type="spellStart"/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carragenina</w:t>
      </w:r>
      <w:proofErr w:type="spellEnd"/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y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alginato, respectivamente. Se ha reportado en la literatura que dichos polisacáridos sulfatados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pueden ser utilizados en diferentes aplicaciones en la industria alimentaria, biomédica y de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generación y almacenamiento de energía. Su solubilidad en agua y estructura amorfa, hacen que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sean fácilmente procesables. Además, al poseer grupos cargados negativamente como el sulfato,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permiten el transporte de iones y pueden ser aprovechados en la síntesis de polímeros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biodegradables con conductividad iónica. Dichos polímeros pueden ser usados en la fabricación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de nuevos almacenadores de carga (baterías y condensadores) amigables al medio ambiente.</w:t>
      </w:r>
    </w:p>
    <w:p w14:paraId="25E591FD" w14:textId="56C7A647" w:rsidR="00E26490" w:rsidRPr="00E26490" w:rsidRDefault="00E26490" w:rsidP="00E26490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A diferencia de las algas rojas y pardas, las algas verdes actualmente representan un recurso poco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explotado que se usa parcialmente únicamente como alimento. En especial, las algas verdes del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género Ulva contienen polisacáridos sulfatados, similares a los extraídos de algas rojas y pardas,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y que podrían ser explotados para diferentes aplicaciones energéticas, biomédicas y en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agricultura. En este trabajo se reporta un proceso de tres etapas para el aprovechamiento de los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polímeros sulfatados de </w:t>
      </w:r>
      <w:proofErr w:type="spellStart"/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Ulvan</w:t>
      </w:r>
      <w:proofErr w:type="spellEnd"/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. Dicho proceso incluye diferentes etapas como extracción,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precipitación y purificación. Los parámetros del proceso de extracción como, por ejemplo,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tiempo, concentración del medio de extracción, pH, temperatura, solvente, entre otros, determinan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la estructura final del polisacárido extraído. Los resultados contribuirán con el desarrollo de una</w:t>
      </w:r>
      <w:r w:rsidR="00306FC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nueva industria basada en la explotación de los polisacáridos sulfatados de las algas verdes del</w:t>
      </w:r>
    </w:p>
    <w:p w14:paraId="3E32FB05" w14:textId="77777777" w:rsidR="00306FC4" w:rsidRDefault="00E26490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E2649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litoral peruano.</w:t>
      </w:r>
    </w:p>
    <w:sectPr w:rsidR="00306FC4" w:rsidSect="00E973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701" w:bottom="1417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1642" w14:textId="77777777" w:rsidR="00907EC4" w:rsidRDefault="00907EC4" w:rsidP="005B20BA">
      <w:pPr>
        <w:spacing w:after="0" w:line="240" w:lineRule="auto"/>
      </w:pPr>
      <w:r>
        <w:separator/>
      </w:r>
    </w:p>
  </w:endnote>
  <w:endnote w:type="continuationSeparator" w:id="0">
    <w:p w14:paraId="4701C0C0" w14:textId="77777777" w:rsidR="00907EC4" w:rsidRDefault="00907EC4" w:rsidP="005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41B" w14:textId="6D2BBE81" w:rsidR="00D10E81" w:rsidRDefault="00C703B9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2385A9E" wp14:editId="478B63FD">
          <wp:simplePos x="0" y="0"/>
          <wp:positionH relativeFrom="column">
            <wp:posOffset>-354568</wp:posOffset>
          </wp:positionH>
          <wp:positionV relativeFrom="paragraph">
            <wp:posOffset>-476410</wp:posOffset>
          </wp:positionV>
          <wp:extent cx="6143137" cy="62262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137" cy="62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8AB1" w14:textId="77777777" w:rsidR="00907EC4" w:rsidRDefault="00907EC4" w:rsidP="005B20BA">
      <w:pPr>
        <w:spacing w:after="0" w:line="240" w:lineRule="auto"/>
      </w:pPr>
      <w:r>
        <w:separator/>
      </w:r>
    </w:p>
  </w:footnote>
  <w:footnote w:type="continuationSeparator" w:id="0">
    <w:p w14:paraId="2E782FA5" w14:textId="77777777" w:rsidR="00907EC4" w:rsidRDefault="00907EC4" w:rsidP="005B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5C3" w14:textId="3473856F" w:rsidR="006074A2" w:rsidRDefault="00907EC4">
    <w:pPr>
      <w:pStyle w:val="Encabezado"/>
    </w:pPr>
    <w:r>
      <w:rPr>
        <w:noProof/>
      </w:rPr>
      <w:pict w14:anchorId="4ED2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7" o:spid="_x0000_s1034" type="#_x0000_t75" style="position:absolute;margin-left:0;margin-top:0;width:596pt;height:843pt;z-index:-251657216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98" w14:textId="7C0F1F52" w:rsidR="00E97357" w:rsidRDefault="00D1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FB1170" wp14:editId="4D8849E6">
          <wp:simplePos x="0" y="0"/>
          <wp:positionH relativeFrom="column">
            <wp:posOffset>-1072451</wp:posOffset>
          </wp:positionH>
          <wp:positionV relativeFrom="paragraph">
            <wp:posOffset>-434847</wp:posOffset>
          </wp:positionV>
          <wp:extent cx="6861432" cy="2182266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9" cy="219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86">
      <w:rPr>
        <w:noProof/>
      </w:rPr>
      <w:drawing>
        <wp:anchor distT="0" distB="0" distL="114300" distR="114300" simplePos="0" relativeHeight="251661312" behindDoc="1" locked="0" layoutInCell="1" allowOverlap="1" wp14:anchorId="492A11F8" wp14:editId="12A4EC10">
          <wp:simplePos x="0" y="0"/>
          <wp:positionH relativeFrom="column">
            <wp:posOffset>3194114</wp:posOffset>
          </wp:positionH>
          <wp:positionV relativeFrom="paragraph">
            <wp:posOffset>3098800</wp:posOffset>
          </wp:positionV>
          <wp:extent cx="3273425" cy="4203065"/>
          <wp:effectExtent l="0" t="0" r="317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E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3A9" w14:textId="78CC710B" w:rsidR="006074A2" w:rsidRDefault="00907EC4">
    <w:pPr>
      <w:pStyle w:val="Encabezado"/>
    </w:pPr>
    <w:r>
      <w:rPr>
        <w:noProof/>
      </w:rPr>
      <w:pict w14:anchorId="561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6" o:spid="_x0000_s1033" type="#_x0000_t75" style="position:absolute;margin-left:0;margin-top:0;width:596pt;height:843pt;z-index:-251658240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D0"/>
    <w:multiLevelType w:val="hybridMultilevel"/>
    <w:tmpl w:val="CF7A25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1F"/>
    <w:multiLevelType w:val="hybridMultilevel"/>
    <w:tmpl w:val="01DCCEC2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BB1"/>
    <w:multiLevelType w:val="multilevel"/>
    <w:tmpl w:val="1402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118"/>
    <w:multiLevelType w:val="hybridMultilevel"/>
    <w:tmpl w:val="A238E9B0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4EE"/>
    <w:multiLevelType w:val="hybridMultilevel"/>
    <w:tmpl w:val="F4A2A72C"/>
    <w:lvl w:ilvl="0" w:tplc="862CE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F4F"/>
    <w:multiLevelType w:val="hybridMultilevel"/>
    <w:tmpl w:val="7F64AF02"/>
    <w:lvl w:ilvl="0" w:tplc="0B725940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919"/>
    <w:multiLevelType w:val="multilevel"/>
    <w:tmpl w:val="F4DE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51E8"/>
    <w:multiLevelType w:val="hybridMultilevel"/>
    <w:tmpl w:val="D47ADB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5D3"/>
    <w:multiLevelType w:val="hybridMultilevel"/>
    <w:tmpl w:val="20DAB3F6"/>
    <w:lvl w:ilvl="0" w:tplc="8B84E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405D3"/>
    <w:multiLevelType w:val="hybridMultilevel"/>
    <w:tmpl w:val="5F3877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0F52"/>
    <w:multiLevelType w:val="hybridMultilevel"/>
    <w:tmpl w:val="EAAC8D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7369"/>
    <w:multiLevelType w:val="hybridMultilevel"/>
    <w:tmpl w:val="EE500EF8"/>
    <w:lvl w:ilvl="0" w:tplc="5310E8A0">
      <w:start w:val="25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CF10CB5"/>
    <w:multiLevelType w:val="hybridMultilevel"/>
    <w:tmpl w:val="833C0EEA"/>
    <w:lvl w:ilvl="0" w:tplc="48B0ED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14CC"/>
    <w:multiLevelType w:val="hybridMultilevel"/>
    <w:tmpl w:val="3990A91E"/>
    <w:lvl w:ilvl="0" w:tplc="A356952C">
      <w:start w:val="25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A"/>
    <w:rsid w:val="00020D62"/>
    <w:rsid w:val="00032DA4"/>
    <w:rsid w:val="000407BC"/>
    <w:rsid w:val="00074040"/>
    <w:rsid w:val="00076938"/>
    <w:rsid w:val="00087179"/>
    <w:rsid w:val="000B2950"/>
    <w:rsid w:val="000C5345"/>
    <w:rsid w:val="000D0590"/>
    <w:rsid w:val="000D6936"/>
    <w:rsid w:val="000E343A"/>
    <w:rsid w:val="00105429"/>
    <w:rsid w:val="00113FEF"/>
    <w:rsid w:val="00133A6F"/>
    <w:rsid w:val="00133EED"/>
    <w:rsid w:val="001376BB"/>
    <w:rsid w:val="00166525"/>
    <w:rsid w:val="00190DB9"/>
    <w:rsid w:val="00197CA4"/>
    <w:rsid w:val="001B44D6"/>
    <w:rsid w:val="001C54E4"/>
    <w:rsid w:val="001C6336"/>
    <w:rsid w:val="001F2F70"/>
    <w:rsid w:val="002103EB"/>
    <w:rsid w:val="00214640"/>
    <w:rsid w:val="002224A9"/>
    <w:rsid w:val="00243FE4"/>
    <w:rsid w:val="00244F1D"/>
    <w:rsid w:val="00246E83"/>
    <w:rsid w:val="00262F3F"/>
    <w:rsid w:val="002879D6"/>
    <w:rsid w:val="002968BA"/>
    <w:rsid w:val="002D5CC1"/>
    <w:rsid w:val="002F51E4"/>
    <w:rsid w:val="00306FC4"/>
    <w:rsid w:val="00310528"/>
    <w:rsid w:val="00312076"/>
    <w:rsid w:val="00316D49"/>
    <w:rsid w:val="00334E90"/>
    <w:rsid w:val="00335227"/>
    <w:rsid w:val="00356C3B"/>
    <w:rsid w:val="0036145B"/>
    <w:rsid w:val="00361DD6"/>
    <w:rsid w:val="0036468B"/>
    <w:rsid w:val="0036509B"/>
    <w:rsid w:val="003700F7"/>
    <w:rsid w:val="00375A5A"/>
    <w:rsid w:val="003906E7"/>
    <w:rsid w:val="00393EE7"/>
    <w:rsid w:val="003B2E4D"/>
    <w:rsid w:val="003D172F"/>
    <w:rsid w:val="003E4E54"/>
    <w:rsid w:val="004145EC"/>
    <w:rsid w:val="00415556"/>
    <w:rsid w:val="004156D7"/>
    <w:rsid w:val="00415756"/>
    <w:rsid w:val="00417288"/>
    <w:rsid w:val="00422428"/>
    <w:rsid w:val="00427815"/>
    <w:rsid w:val="0045591C"/>
    <w:rsid w:val="00470812"/>
    <w:rsid w:val="004708B1"/>
    <w:rsid w:val="004839AF"/>
    <w:rsid w:val="00491219"/>
    <w:rsid w:val="004A6FAA"/>
    <w:rsid w:val="004B750C"/>
    <w:rsid w:val="004C138E"/>
    <w:rsid w:val="004F39C0"/>
    <w:rsid w:val="00551FE0"/>
    <w:rsid w:val="00564457"/>
    <w:rsid w:val="0058498C"/>
    <w:rsid w:val="00587927"/>
    <w:rsid w:val="005B20BA"/>
    <w:rsid w:val="005D5AEA"/>
    <w:rsid w:val="005D7393"/>
    <w:rsid w:val="005E0AE6"/>
    <w:rsid w:val="005E68D7"/>
    <w:rsid w:val="005E7831"/>
    <w:rsid w:val="005F2C58"/>
    <w:rsid w:val="006074A2"/>
    <w:rsid w:val="00672989"/>
    <w:rsid w:val="006729C8"/>
    <w:rsid w:val="00676682"/>
    <w:rsid w:val="00693429"/>
    <w:rsid w:val="006953E3"/>
    <w:rsid w:val="006A5288"/>
    <w:rsid w:val="006B2D9C"/>
    <w:rsid w:val="006D0245"/>
    <w:rsid w:val="006D6B6C"/>
    <w:rsid w:val="006E46F7"/>
    <w:rsid w:val="006F1C44"/>
    <w:rsid w:val="006F4392"/>
    <w:rsid w:val="0071129E"/>
    <w:rsid w:val="00712744"/>
    <w:rsid w:val="00722605"/>
    <w:rsid w:val="0072582B"/>
    <w:rsid w:val="00730254"/>
    <w:rsid w:val="00754A5C"/>
    <w:rsid w:val="00771D82"/>
    <w:rsid w:val="007734AB"/>
    <w:rsid w:val="007800A4"/>
    <w:rsid w:val="0078165F"/>
    <w:rsid w:val="007B4BCB"/>
    <w:rsid w:val="007B50C4"/>
    <w:rsid w:val="007B7A5A"/>
    <w:rsid w:val="007C3276"/>
    <w:rsid w:val="007C3AB1"/>
    <w:rsid w:val="007C5022"/>
    <w:rsid w:val="00806AC8"/>
    <w:rsid w:val="00852EE5"/>
    <w:rsid w:val="008559E9"/>
    <w:rsid w:val="00870ADC"/>
    <w:rsid w:val="00877A8A"/>
    <w:rsid w:val="00890B43"/>
    <w:rsid w:val="008B02B0"/>
    <w:rsid w:val="008B1B9A"/>
    <w:rsid w:val="008B7027"/>
    <w:rsid w:val="008C6166"/>
    <w:rsid w:val="008D29A4"/>
    <w:rsid w:val="008F4DB2"/>
    <w:rsid w:val="0090661A"/>
    <w:rsid w:val="00907EC4"/>
    <w:rsid w:val="00920B71"/>
    <w:rsid w:val="00923D79"/>
    <w:rsid w:val="009375DC"/>
    <w:rsid w:val="00952D4E"/>
    <w:rsid w:val="009576C5"/>
    <w:rsid w:val="00961DE8"/>
    <w:rsid w:val="00977615"/>
    <w:rsid w:val="00984923"/>
    <w:rsid w:val="0099347E"/>
    <w:rsid w:val="00995DFC"/>
    <w:rsid w:val="009C0979"/>
    <w:rsid w:val="00A04A86"/>
    <w:rsid w:val="00A4109D"/>
    <w:rsid w:val="00A5222A"/>
    <w:rsid w:val="00A656DA"/>
    <w:rsid w:val="00A65F96"/>
    <w:rsid w:val="00A95ECB"/>
    <w:rsid w:val="00AC0F7C"/>
    <w:rsid w:val="00AC1603"/>
    <w:rsid w:val="00AD3ADC"/>
    <w:rsid w:val="00AE14B2"/>
    <w:rsid w:val="00AF2DDB"/>
    <w:rsid w:val="00B0291E"/>
    <w:rsid w:val="00B04BBC"/>
    <w:rsid w:val="00B05A9E"/>
    <w:rsid w:val="00B104D5"/>
    <w:rsid w:val="00B369CE"/>
    <w:rsid w:val="00B411EB"/>
    <w:rsid w:val="00B47FF4"/>
    <w:rsid w:val="00B76719"/>
    <w:rsid w:val="00B9244D"/>
    <w:rsid w:val="00B959F3"/>
    <w:rsid w:val="00B974F5"/>
    <w:rsid w:val="00BA3EB3"/>
    <w:rsid w:val="00BA5D40"/>
    <w:rsid w:val="00BB25C8"/>
    <w:rsid w:val="00BB36D4"/>
    <w:rsid w:val="00BF0423"/>
    <w:rsid w:val="00C01CFA"/>
    <w:rsid w:val="00C1391A"/>
    <w:rsid w:val="00C17A36"/>
    <w:rsid w:val="00C34EA3"/>
    <w:rsid w:val="00C42E6F"/>
    <w:rsid w:val="00C4614A"/>
    <w:rsid w:val="00C4682D"/>
    <w:rsid w:val="00C56CEE"/>
    <w:rsid w:val="00C65BA2"/>
    <w:rsid w:val="00C703B9"/>
    <w:rsid w:val="00C73A8E"/>
    <w:rsid w:val="00CA0A6D"/>
    <w:rsid w:val="00CA1A15"/>
    <w:rsid w:val="00CA6B2D"/>
    <w:rsid w:val="00CB13FF"/>
    <w:rsid w:val="00CB1B14"/>
    <w:rsid w:val="00CC0AAB"/>
    <w:rsid w:val="00CC45AF"/>
    <w:rsid w:val="00CC66CD"/>
    <w:rsid w:val="00CC69B0"/>
    <w:rsid w:val="00CD13FA"/>
    <w:rsid w:val="00CF0949"/>
    <w:rsid w:val="00CF70BE"/>
    <w:rsid w:val="00D10E81"/>
    <w:rsid w:val="00D26527"/>
    <w:rsid w:val="00D43096"/>
    <w:rsid w:val="00D54451"/>
    <w:rsid w:val="00D80168"/>
    <w:rsid w:val="00D80645"/>
    <w:rsid w:val="00D90BD1"/>
    <w:rsid w:val="00DA2219"/>
    <w:rsid w:val="00DA31E8"/>
    <w:rsid w:val="00DB08B9"/>
    <w:rsid w:val="00DB0EFF"/>
    <w:rsid w:val="00DB24CC"/>
    <w:rsid w:val="00DC5606"/>
    <w:rsid w:val="00DD037C"/>
    <w:rsid w:val="00DD699A"/>
    <w:rsid w:val="00E159E0"/>
    <w:rsid w:val="00E26490"/>
    <w:rsid w:val="00E33352"/>
    <w:rsid w:val="00E723AD"/>
    <w:rsid w:val="00E7615A"/>
    <w:rsid w:val="00E767AC"/>
    <w:rsid w:val="00E80038"/>
    <w:rsid w:val="00E97357"/>
    <w:rsid w:val="00EB07FF"/>
    <w:rsid w:val="00EC3FBB"/>
    <w:rsid w:val="00EC6E61"/>
    <w:rsid w:val="00EF55FD"/>
    <w:rsid w:val="00F43A54"/>
    <w:rsid w:val="00F5249A"/>
    <w:rsid w:val="00F53E13"/>
    <w:rsid w:val="00F5491A"/>
    <w:rsid w:val="00F55B47"/>
    <w:rsid w:val="00F56149"/>
    <w:rsid w:val="00F657E5"/>
    <w:rsid w:val="00F74FBC"/>
    <w:rsid w:val="00F76BD2"/>
    <w:rsid w:val="00F84429"/>
    <w:rsid w:val="00F92278"/>
    <w:rsid w:val="00FA0A98"/>
    <w:rsid w:val="00FB2441"/>
    <w:rsid w:val="00FD6AC3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721"/>
  <w15:docId w15:val="{A3031F5C-544B-4C06-B033-EBD659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BA"/>
  </w:style>
  <w:style w:type="paragraph" w:styleId="Piedepgina">
    <w:name w:val="footer"/>
    <w:basedOn w:val="Normal"/>
    <w:link w:val="Piedepgina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A"/>
  </w:style>
  <w:style w:type="paragraph" w:styleId="Prrafodelista">
    <w:name w:val="List Paragraph"/>
    <w:basedOn w:val="Normal"/>
    <w:uiPriority w:val="34"/>
    <w:qFormat/>
    <w:rsid w:val="00C73A8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6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66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6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0D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90"/>
    <w:rPr>
      <w:color w:val="954F72" w:themeColor="followedHyperlink"/>
      <w:u w:val="single"/>
    </w:rPr>
  </w:style>
  <w:style w:type="table" w:customStyle="1" w:styleId="TableGrid">
    <w:name w:val="TableGrid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D. Emerson Afiler Horna</cp:lastModifiedBy>
  <cp:revision>16</cp:revision>
  <cp:lastPrinted>2021-11-11T15:08:00Z</cp:lastPrinted>
  <dcterms:created xsi:type="dcterms:W3CDTF">2021-11-30T22:56:00Z</dcterms:created>
  <dcterms:modified xsi:type="dcterms:W3CDTF">2021-12-09T00:45:00Z</dcterms:modified>
</cp:coreProperties>
</file>